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0AED" w14:textId="77777777" w:rsidR="00F73B59" w:rsidRPr="000035FA" w:rsidRDefault="00A10017" w:rsidP="00F73B59">
      <w:pPr>
        <w:pStyle w:val="Normal1"/>
        <w:rPr>
          <w:rFonts w:ascii="Helvetica" w:eastAsia="Helvetica Neue" w:hAnsi="Helvetica" w:cs="Helvetica Neue"/>
          <w:b/>
          <w:sz w:val="24"/>
          <w:szCs w:val="24"/>
        </w:rPr>
      </w:pPr>
      <w:r>
        <w:rPr>
          <w:rFonts w:ascii="Helvetica" w:eastAsia="Helvetica Neue" w:hAnsi="Helvetica" w:cs="Helvetica Neue"/>
          <w:b/>
          <w:sz w:val="24"/>
          <w:szCs w:val="24"/>
        </w:rPr>
        <w:t>MEDIA</w:t>
      </w:r>
      <w:bookmarkStart w:id="0" w:name="_GoBack"/>
      <w:bookmarkEnd w:id="0"/>
      <w:r w:rsidR="00F73B59" w:rsidRPr="000035FA">
        <w:rPr>
          <w:rFonts w:ascii="Helvetica" w:eastAsia="Helvetica Neue" w:hAnsi="Helvetica" w:cs="Helvetica Neue"/>
          <w:b/>
          <w:sz w:val="24"/>
          <w:szCs w:val="24"/>
        </w:rPr>
        <w:t xml:space="preserve"> RELEASE</w:t>
      </w:r>
    </w:p>
    <w:p w14:paraId="75B709C0" w14:textId="77777777" w:rsidR="00F73B59" w:rsidRPr="000035FA" w:rsidRDefault="00F73B59" w:rsidP="00F73B59">
      <w:pPr>
        <w:pStyle w:val="Normal1"/>
        <w:rPr>
          <w:rFonts w:ascii="Helvetica" w:eastAsia="Helvetica Neue" w:hAnsi="Helvetica" w:cs="Helvetica Neue"/>
          <w:sz w:val="18"/>
          <w:szCs w:val="18"/>
        </w:rPr>
      </w:pPr>
      <w:r w:rsidRPr="000035FA">
        <w:rPr>
          <w:rFonts w:ascii="Helvetica" w:eastAsia="Helvetica Neue" w:hAnsi="Helvetica" w:cs="Helvetica Neue"/>
          <w:sz w:val="18"/>
          <w:szCs w:val="18"/>
        </w:rPr>
        <w:t xml:space="preserve">For further details contact: Stieve De Lance 0431139681 </w:t>
      </w:r>
      <w:hyperlink r:id="rId6" w:history="1">
        <w:r w:rsidRPr="000035FA">
          <w:rPr>
            <w:rStyle w:val="Hyperlink"/>
            <w:rFonts w:ascii="Helvetica" w:eastAsia="Helvetica Neue" w:hAnsi="Helvetica" w:cs="Helvetica Neue"/>
            <w:sz w:val="18"/>
            <w:szCs w:val="18"/>
          </w:rPr>
          <w:t>sdelance@reputationaustralia.com.au</w:t>
        </w:r>
      </w:hyperlink>
    </w:p>
    <w:p w14:paraId="09FDFAEC" w14:textId="77777777" w:rsidR="002D6213" w:rsidRPr="000035FA" w:rsidRDefault="000035FA" w:rsidP="00F73B59">
      <w:pPr>
        <w:jc w:val="center"/>
        <w:rPr>
          <w:rFonts w:ascii="Helvetica" w:hAnsi="Helvetica"/>
          <w:b/>
          <w:sz w:val="24"/>
          <w:szCs w:val="24"/>
        </w:rPr>
      </w:pPr>
      <w:r w:rsidRPr="000035FA">
        <w:rPr>
          <w:rFonts w:ascii="Helvetica" w:hAnsi="Helvetica"/>
          <w:b/>
          <w:sz w:val="24"/>
          <w:szCs w:val="24"/>
        </w:rPr>
        <w:t xml:space="preserve">THERE ARE NOW MORE RENTERS THAN OWNERS </w:t>
      </w:r>
      <w:r w:rsidR="00886D6B">
        <w:rPr>
          <w:rFonts w:ascii="Helvetica" w:hAnsi="Helvetica"/>
          <w:b/>
          <w:sz w:val="24"/>
          <w:szCs w:val="24"/>
        </w:rPr>
        <w:t xml:space="preserve">IN OVER </w:t>
      </w:r>
      <w:r w:rsidR="0082152A">
        <w:rPr>
          <w:rFonts w:ascii="Helvetica" w:hAnsi="Helvetica"/>
          <w:b/>
          <w:sz w:val="24"/>
          <w:szCs w:val="24"/>
        </w:rPr>
        <w:t>1</w:t>
      </w:r>
      <w:r w:rsidR="00886D6B">
        <w:rPr>
          <w:rFonts w:ascii="Helvetica" w:hAnsi="Helvetica"/>
          <w:b/>
          <w:sz w:val="24"/>
          <w:szCs w:val="24"/>
        </w:rPr>
        <w:t>50 LOCAL GOVERNMENT AREAS</w:t>
      </w:r>
      <w:r w:rsidR="00CF68ED">
        <w:rPr>
          <w:rFonts w:ascii="Helvetica" w:hAnsi="Helvetica"/>
          <w:b/>
          <w:sz w:val="24"/>
          <w:szCs w:val="24"/>
        </w:rPr>
        <w:t xml:space="preserve"> AND WITH</w:t>
      </w:r>
      <w:r w:rsidRPr="000035FA">
        <w:rPr>
          <w:rFonts w:ascii="Helvetica" w:hAnsi="Helvetica"/>
          <w:b/>
          <w:sz w:val="24"/>
          <w:szCs w:val="24"/>
        </w:rPr>
        <w:t xml:space="preserve"> </w:t>
      </w:r>
      <w:r w:rsidR="00CF68ED">
        <w:rPr>
          <w:rFonts w:ascii="Helvetica" w:hAnsi="Helvetica"/>
          <w:b/>
          <w:sz w:val="24"/>
          <w:szCs w:val="24"/>
        </w:rPr>
        <w:t>FAILING</w:t>
      </w:r>
      <w:r w:rsidRPr="000035FA">
        <w:rPr>
          <w:rFonts w:ascii="Helvetica" w:hAnsi="Helvetica"/>
          <w:b/>
          <w:sz w:val="24"/>
          <w:szCs w:val="24"/>
        </w:rPr>
        <w:t xml:space="preserve"> GOVERNMENT POLICIES IT’S GOING TO GET WORSE</w:t>
      </w:r>
    </w:p>
    <w:p w14:paraId="6F8FE010" w14:textId="77777777" w:rsidR="007032F7" w:rsidRPr="000035FA" w:rsidRDefault="00A10017">
      <w:pPr>
        <w:rPr>
          <w:rFonts w:ascii="Helvetica" w:hAnsi="Helvetica"/>
          <w:b/>
        </w:rPr>
      </w:pPr>
      <w:r>
        <w:rPr>
          <w:rFonts w:ascii="Helvetica" w:hAnsi="Helvetica"/>
          <w:b/>
        </w:rPr>
        <w:t>25 June 2017</w:t>
      </w:r>
      <w:r>
        <w:rPr>
          <w:rFonts w:ascii="Helvetica" w:hAnsi="Helvetica"/>
          <w:b/>
        </w:rPr>
        <w:t>,</w:t>
      </w:r>
      <w:r>
        <w:rPr>
          <w:rFonts w:ascii="Helvetica" w:hAnsi="Helvetica"/>
          <w:b/>
        </w:rPr>
        <w:t xml:space="preserve"> </w:t>
      </w:r>
      <w:r w:rsidR="00CB6727" w:rsidRPr="000035FA">
        <w:rPr>
          <w:rFonts w:ascii="Helvetica" w:hAnsi="Helvetica"/>
          <w:b/>
        </w:rPr>
        <w:t xml:space="preserve">Housing </w:t>
      </w:r>
      <w:r w:rsidR="00886D6B">
        <w:rPr>
          <w:rFonts w:ascii="Helvetica" w:hAnsi="Helvetica"/>
          <w:b/>
        </w:rPr>
        <w:t>A</w:t>
      </w:r>
      <w:r w:rsidR="00CB6727" w:rsidRPr="000035FA">
        <w:rPr>
          <w:rFonts w:ascii="Helvetica" w:hAnsi="Helvetica"/>
          <w:b/>
        </w:rPr>
        <w:t xml:space="preserve">ffordability </w:t>
      </w:r>
      <w:r w:rsidR="00886D6B">
        <w:rPr>
          <w:rFonts w:ascii="Helvetica" w:hAnsi="Helvetica"/>
          <w:b/>
        </w:rPr>
        <w:t>E</w:t>
      </w:r>
      <w:r w:rsidR="00CB6727" w:rsidRPr="000035FA">
        <w:rPr>
          <w:rFonts w:ascii="Helvetica" w:hAnsi="Helvetica"/>
          <w:b/>
        </w:rPr>
        <w:t>xpert</w:t>
      </w:r>
      <w:r w:rsidR="00886D6B">
        <w:rPr>
          <w:rFonts w:ascii="Helvetica" w:hAnsi="Helvetica"/>
          <w:b/>
        </w:rPr>
        <w:t xml:space="preserve"> and CFP</w:t>
      </w:r>
      <w:r w:rsidR="000B15F2" w:rsidRPr="000B15F2">
        <w:rPr>
          <w:rFonts w:ascii="Helvetica" w:hAnsi="Helvetica"/>
          <w:b/>
          <w:vertAlign w:val="superscript"/>
        </w:rPr>
        <w:t>®</w:t>
      </w:r>
      <w:r w:rsidR="00CB6727" w:rsidRPr="000035FA">
        <w:rPr>
          <w:rFonts w:ascii="Helvetica" w:hAnsi="Helvetica"/>
          <w:b/>
        </w:rPr>
        <w:t>:</w:t>
      </w:r>
      <w:r w:rsidR="002B54D9" w:rsidRPr="000035FA">
        <w:rPr>
          <w:rFonts w:ascii="Helvetica" w:hAnsi="Helvetica"/>
          <w:b/>
        </w:rPr>
        <w:t xml:space="preserve"> </w:t>
      </w:r>
      <w:r w:rsidR="007032F7" w:rsidRPr="000035FA">
        <w:rPr>
          <w:rFonts w:ascii="Helvetica" w:hAnsi="Helvetica"/>
          <w:b/>
        </w:rPr>
        <w:t>Robert Snell</w:t>
      </w:r>
    </w:p>
    <w:p w14:paraId="7D93A5B8" w14:textId="77777777" w:rsidR="00B723CA" w:rsidRPr="000035FA" w:rsidRDefault="00B723CA" w:rsidP="00B723CA">
      <w:pPr>
        <w:pStyle w:val="ListParagraph"/>
        <w:numPr>
          <w:ilvl w:val="0"/>
          <w:numId w:val="1"/>
        </w:numPr>
        <w:rPr>
          <w:rFonts w:ascii="Helvetica" w:hAnsi="Helvetica"/>
          <w:b/>
        </w:rPr>
      </w:pPr>
      <w:r w:rsidRPr="000035FA">
        <w:rPr>
          <w:rFonts w:ascii="Helvetica" w:hAnsi="Helvetica"/>
          <w:b/>
        </w:rPr>
        <w:t xml:space="preserve">There are now more renters than </w:t>
      </w:r>
      <w:r w:rsidR="006F5ABD">
        <w:rPr>
          <w:rFonts w:ascii="Helvetica" w:hAnsi="Helvetica"/>
          <w:b/>
        </w:rPr>
        <w:t>property</w:t>
      </w:r>
      <w:r w:rsidR="006F5ABD" w:rsidRPr="000035FA">
        <w:rPr>
          <w:rFonts w:ascii="Helvetica" w:hAnsi="Helvetica"/>
          <w:b/>
        </w:rPr>
        <w:t xml:space="preserve"> </w:t>
      </w:r>
      <w:r w:rsidRPr="000035FA">
        <w:rPr>
          <w:rFonts w:ascii="Helvetica" w:hAnsi="Helvetica"/>
          <w:b/>
        </w:rPr>
        <w:t>owners in</w:t>
      </w:r>
      <w:r w:rsidR="006F5ABD">
        <w:rPr>
          <w:rFonts w:ascii="Helvetica" w:hAnsi="Helvetica"/>
          <w:b/>
        </w:rPr>
        <w:t xml:space="preserve"> 152 Local Government Areas</w:t>
      </w:r>
    </w:p>
    <w:p w14:paraId="244970DE" w14:textId="77777777" w:rsidR="00B723CA" w:rsidRPr="000035FA" w:rsidRDefault="00B723CA" w:rsidP="00B723CA">
      <w:pPr>
        <w:pStyle w:val="ListParagraph"/>
        <w:numPr>
          <w:ilvl w:val="0"/>
          <w:numId w:val="1"/>
        </w:numPr>
        <w:rPr>
          <w:rFonts w:ascii="Helvetica" w:hAnsi="Helvetica"/>
          <w:b/>
        </w:rPr>
      </w:pPr>
      <w:r w:rsidRPr="000035FA">
        <w:rPr>
          <w:rFonts w:ascii="Helvetica" w:hAnsi="Helvetica"/>
          <w:b/>
        </w:rPr>
        <w:t xml:space="preserve">In both Sydney and Melbourne (LGA) Renters outnumber all </w:t>
      </w:r>
      <w:r w:rsidR="006F5ABD">
        <w:rPr>
          <w:rFonts w:ascii="Helvetica" w:hAnsi="Helvetica"/>
          <w:b/>
        </w:rPr>
        <w:t>other tenure types</w:t>
      </w:r>
      <w:r w:rsidR="00F8735C" w:rsidRPr="000035FA">
        <w:rPr>
          <w:rFonts w:ascii="Helvetica" w:hAnsi="Helvetica"/>
          <w:b/>
        </w:rPr>
        <w:t xml:space="preserve"> </w:t>
      </w:r>
      <w:hyperlink r:id="rId7" w:history="1">
        <w:r w:rsidR="00F8735C" w:rsidRPr="000035FA">
          <w:rPr>
            <w:rStyle w:val="Hyperlink"/>
            <w:rFonts w:ascii="Helvetica" w:hAnsi="Helvetica"/>
            <w:b/>
          </w:rPr>
          <w:t>Click here</w:t>
        </w:r>
      </w:hyperlink>
      <w:r w:rsidR="00F8735C" w:rsidRPr="000035FA">
        <w:rPr>
          <w:rFonts w:ascii="Helvetica" w:hAnsi="Helvetica"/>
          <w:b/>
        </w:rPr>
        <w:t xml:space="preserve"> to find your area</w:t>
      </w:r>
    </w:p>
    <w:p w14:paraId="307BB337" w14:textId="77777777" w:rsidR="001E4A1C" w:rsidRPr="000035FA" w:rsidRDefault="001E4A1C" w:rsidP="00F73B59">
      <w:pPr>
        <w:pStyle w:val="ListParagraph"/>
        <w:numPr>
          <w:ilvl w:val="0"/>
          <w:numId w:val="1"/>
        </w:numPr>
        <w:rPr>
          <w:rFonts w:ascii="Helvetica" w:hAnsi="Helvetica"/>
          <w:b/>
        </w:rPr>
      </w:pPr>
      <w:r w:rsidRPr="000035FA">
        <w:rPr>
          <w:rFonts w:ascii="Helvetica" w:hAnsi="Helvetica"/>
          <w:b/>
        </w:rPr>
        <w:t xml:space="preserve">Not since the time of the gentry has there been </w:t>
      </w:r>
      <w:r w:rsidR="00F73B59" w:rsidRPr="000035FA">
        <w:rPr>
          <w:rFonts w:ascii="Helvetica" w:hAnsi="Helvetica"/>
          <w:b/>
        </w:rPr>
        <w:t>a class divide defined by property ownership</w:t>
      </w:r>
    </w:p>
    <w:p w14:paraId="14971229" w14:textId="77777777" w:rsidR="00F73B59" w:rsidRPr="000035FA" w:rsidRDefault="00F73B59" w:rsidP="00F73B59">
      <w:pPr>
        <w:pStyle w:val="ListParagraph"/>
        <w:numPr>
          <w:ilvl w:val="0"/>
          <w:numId w:val="1"/>
        </w:numPr>
        <w:rPr>
          <w:rFonts w:ascii="Helvetica" w:hAnsi="Helvetica"/>
          <w:b/>
        </w:rPr>
      </w:pPr>
      <w:r w:rsidRPr="000035FA">
        <w:rPr>
          <w:rFonts w:ascii="Helvetica" w:hAnsi="Helvetica"/>
          <w:b/>
        </w:rPr>
        <w:t xml:space="preserve">Australia now a land of the </w:t>
      </w:r>
      <w:r w:rsidR="0082152A">
        <w:rPr>
          <w:rFonts w:ascii="Helvetica" w:hAnsi="Helvetica"/>
          <w:b/>
        </w:rPr>
        <w:t>‘property haves’</w:t>
      </w:r>
      <w:r w:rsidRPr="000035FA">
        <w:rPr>
          <w:rFonts w:ascii="Helvetica" w:hAnsi="Helvetica"/>
          <w:b/>
        </w:rPr>
        <w:t xml:space="preserve"> and </w:t>
      </w:r>
      <w:r w:rsidR="0082152A">
        <w:rPr>
          <w:rFonts w:ascii="Helvetica" w:hAnsi="Helvetica"/>
          <w:b/>
        </w:rPr>
        <w:t>the ‘property have-nots’</w:t>
      </w:r>
    </w:p>
    <w:p w14:paraId="02A065D2" w14:textId="77777777" w:rsidR="00F73B59" w:rsidRPr="000035FA" w:rsidRDefault="00F73B59" w:rsidP="00F73B59">
      <w:pPr>
        <w:pStyle w:val="ListParagraph"/>
        <w:numPr>
          <w:ilvl w:val="0"/>
          <w:numId w:val="1"/>
        </w:numPr>
        <w:rPr>
          <w:rFonts w:ascii="Helvetica" w:hAnsi="Helvetica"/>
          <w:b/>
        </w:rPr>
      </w:pPr>
      <w:r w:rsidRPr="000035FA">
        <w:rPr>
          <w:rFonts w:ascii="Helvetica" w:hAnsi="Helvetica"/>
          <w:b/>
        </w:rPr>
        <w:t>Renters for ever stuck in expensive cycle unable to break out</w:t>
      </w:r>
    </w:p>
    <w:p w14:paraId="5E6EE23C" w14:textId="77777777" w:rsidR="00CB6727" w:rsidRPr="000035FA" w:rsidRDefault="00CB6727" w:rsidP="00F73B59">
      <w:pPr>
        <w:pStyle w:val="ListParagraph"/>
        <w:numPr>
          <w:ilvl w:val="0"/>
          <w:numId w:val="1"/>
        </w:numPr>
        <w:rPr>
          <w:rFonts w:ascii="Helvetica" w:hAnsi="Helvetica"/>
          <w:b/>
        </w:rPr>
      </w:pPr>
      <w:r w:rsidRPr="000035FA">
        <w:rPr>
          <w:rFonts w:ascii="Helvetica" w:hAnsi="Helvetica"/>
          <w:b/>
        </w:rPr>
        <w:t>The rental market</w:t>
      </w:r>
      <w:r w:rsidR="00652E97" w:rsidRPr="000035FA">
        <w:rPr>
          <w:rFonts w:ascii="Helvetica" w:hAnsi="Helvetica"/>
          <w:b/>
        </w:rPr>
        <w:t xml:space="preserve"> is the new ‘Hunger Games’ for Millennials</w:t>
      </w:r>
    </w:p>
    <w:p w14:paraId="5EE9F36F" w14:textId="77777777" w:rsidR="00652E97" w:rsidRPr="000035FA" w:rsidRDefault="00652E97" w:rsidP="00F73B59">
      <w:pPr>
        <w:pStyle w:val="ListParagraph"/>
        <w:numPr>
          <w:ilvl w:val="0"/>
          <w:numId w:val="1"/>
        </w:numPr>
        <w:rPr>
          <w:rFonts w:ascii="Helvetica" w:hAnsi="Helvetica"/>
          <w:b/>
        </w:rPr>
      </w:pPr>
      <w:r w:rsidRPr="000035FA">
        <w:rPr>
          <w:rFonts w:ascii="Helvetica" w:hAnsi="Helvetica"/>
          <w:b/>
        </w:rPr>
        <w:t>Governments are robbing young Australians of a secure and independent financial future</w:t>
      </w:r>
    </w:p>
    <w:p w14:paraId="502CDFC9" w14:textId="77777777" w:rsidR="00F73B59" w:rsidRPr="000035FA" w:rsidRDefault="00F73B59" w:rsidP="00F73B59">
      <w:pPr>
        <w:pStyle w:val="ListParagraph"/>
        <w:numPr>
          <w:ilvl w:val="0"/>
          <w:numId w:val="1"/>
        </w:numPr>
        <w:rPr>
          <w:rFonts w:ascii="Helvetica" w:hAnsi="Helvetica"/>
          <w:b/>
        </w:rPr>
      </w:pPr>
      <w:r w:rsidRPr="000035FA">
        <w:rPr>
          <w:rFonts w:ascii="Helvetica" w:hAnsi="Helvetica"/>
          <w:b/>
        </w:rPr>
        <w:t>Parents employing coaches to get the kids started</w:t>
      </w:r>
      <w:r w:rsidR="00652E97" w:rsidRPr="000035FA">
        <w:rPr>
          <w:rFonts w:ascii="Helvetica" w:hAnsi="Helvetica"/>
          <w:b/>
        </w:rPr>
        <w:t xml:space="preserve"> in life</w:t>
      </w:r>
    </w:p>
    <w:p w14:paraId="64920286" w14:textId="77777777" w:rsidR="00F73B59" w:rsidRPr="000035FA" w:rsidRDefault="00371D9C">
      <w:pPr>
        <w:rPr>
          <w:rFonts w:ascii="Helvetica" w:hAnsi="Helvetica"/>
        </w:rPr>
      </w:pPr>
      <w:r w:rsidRPr="000035FA">
        <w:rPr>
          <w:rFonts w:ascii="Helvetica" w:hAnsi="Helvetica"/>
        </w:rPr>
        <w:t>The latest 2016 Census results reveal</w:t>
      </w:r>
      <w:r w:rsidR="00A8680C" w:rsidRPr="000035FA">
        <w:rPr>
          <w:rFonts w:ascii="Helvetica" w:hAnsi="Helvetica"/>
        </w:rPr>
        <w:t xml:space="preserve"> that across Australia</w:t>
      </w:r>
      <w:r w:rsidRPr="000035FA">
        <w:rPr>
          <w:rFonts w:ascii="Helvetica" w:hAnsi="Helvetica"/>
        </w:rPr>
        <w:t xml:space="preserve"> </w:t>
      </w:r>
      <w:r w:rsidR="00A8680C" w:rsidRPr="000035FA">
        <w:rPr>
          <w:rFonts w:ascii="Helvetica" w:hAnsi="Helvetica"/>
        </w:rPr>
        <w:t>the number of</w:t>
      </w:r>
      <w:r w:rsidRPr="000035FA">
        <w:rPr>
          <w:rFonts w:ascii="Helvetica" w:hAnsi="Helvetica"/>
        </w:rPr>
        <w:t xml:space="preserve"> </w:t>
      </w:r>
      <w:r w:rsidR="00A8680C" w:rsidRPr="000035FA">
        <w:rPr>
          <w:rFonts w:ascii="Helvetica" w:hAnsi="Helvetica"/>
        </w:rPr>
        <w:t>people</w:t>
      </w:r>
      <w:r w:rsidRPr="000035FA">
        <w:rPr>
          <w:rFonts w:ascii="Helvetica" w:hAnsi="Helvetica"/>
        </w:rPr>
        <w:t xml:space="preserve"> </w:t>
      </w:r>
      <w:r w:rsidR="00A8680C" w:rsidRPr="000035FA">
        <w:rPr>
          <w:rFonts w:ascii="Helvetica" w:hAnsi="Helvetica"/>
        </w:rPr>
        <w:t>renting</w:t>
      </w:r>
      <w:r w:rsidR="00F63641" w:rsidRPr="000035FA">
        <w:rPr>
          <w:rFonts w:ascii="Helvetica" w:hAnsi="Helvetica"/>
        </w:rPr>
        <w:t xml:space="preserve"> </w:t>
      </w:r>
      <w:r w:rsidR="00F73B59" w:rsidRPr="000035FA">
        <w:rPr>
          <w:rFonts w:ascii="Helvetica" w:hAnsi="Helvetica"/>
        </w:rPr>
        <w:t>accommodation has continued to increase because successive governments at State and Federal levels have failed to address the problem</w:t>
      </w:r>
      <w:r w:rsidR="00F63641" w:rsidRPr="000035FA">
        <w:rPr>
          <w:rFonts w:ascii="Helvetica" w:hAnsi="Helvetica"/>
        </w:rPr>
        <w:t xml:space="preserve">.  </w:t>
      </w:r>
      <w:r w:rsidR="00F73B59" w:rsidRPr="000035FA">
        <w:rPr>
          <w:rFonts w:ascii="Helvetica" w:hAnsi="Helvetica"/>
        </w:rPr>
        <w:t>Renters</w:t>
      </w:r>
      <w:r w:rsidR="00F63641" w:rsidRPr="000035FA">
        <w:rPr>
          <w:rFonts w:ascii="Helvetica" w:hAnsi="Helvetica"/>
        </w:rPr>
        <w:t xml:space="preserve"> now outnumber owners without a mortgage and are just behind owners with a mortgage</w:t>
      </w:r>
      <w:r w:rsidR="0082152A">
        <w:rPr>
          <w:rFonts w:ascii="Helvetica" w:hAnsi="Helvetica"/>
        </w:rPr>
        <w:t xml:space="preserve"> in over 150 Local </w:t>
      </w:r>
      <w:proofErr w:type="gramStart"/>
      <w:r w:rsidR="0082152A">
        <w:rPr>
          <w:rFonts w:ascii="Helvetica" w:hAnsi="Helvetica"/>
        </w:rPr>
        <w:t>Government  Areas</w:t>
      </w:r>
      <w:proofErr w:type="gramEnd"/>
      <w:r w:rsidR="00F63641" w:rsidRPr="000035FA">
        <w:rPr>
          <w:rFonts w:ascii="Helvetica" w:hAnsi="Helvetica"/>
        </w:rPr>
        <w:t xml:space="preserve">. </w:t>
      </w:r>
      <w:r w:rsidR="00F73B59" w:rsidRPr="000035FA">
        <w:rPr>
          <w:rFonts w:ascii="Helvetica" w:hAnsi="Helvetica"/>
        </w:rPr>
        <w:t>The trend show</w:t>
      </w:r>
      <w:r w:rsidR="00953887" w:rsidRPr="000035FA">
        <w:rPr>
          <w:rFonts w:ascii="Helvetica" w:hAnsi="Helvetica"/>
        </w:rPr>
        <w:t>s</w:t>
      </w:r>
      <w:r w:rsidR="00F73B59" w:rsidRPr="000035FA">
        <w:rPr>
          <w:rFonts w:ascii="Helvetica" w:hAnsi="Helvetica"/>
        </w:rPr>
        <w:t xml:space="preserve"> that renting is the new norm and that the situation is only getting worse.</w:t>
      </w:r>
    </w:p>
    <w:p w14:paraId="5077CD15" w14:textId="77777777" w:rsidR="00371D9C" w:rsidRPr="000035FA" w:rsidRDefault="00A8680C">
      <w:pPr>
        <w:rPr>
          <w:rFonts w:ascii="Helvetica" w:hAnsi="Helvetica"/>
        </w:rPr>
      </w:pPr>
      <w:r w:rsidRPr="000035FA">
        <w:rPr>
          <w:rFonts w:ascii="Helvetica" w:hAnsi="Helvetica"/>
        </w:rPr>
        <w:t>Since 2011 there is</w:t>
      </w:r>
      <w:r w:rsidR="000D1E17" w:rsidRPr="000035FA">
        <w:rPr>
          <w:rFonts w:ascii="Helvetica" w:hAnsi="Helvetica"/>
        </w:rPr>
        <w:t xml:space="preserve"> an extra </w:t>
      </w:r>
      <w:r w:rsidRPr="000035FA">
        <w:rPr>
          <w:rFonts w:ascii="Helvetica" w:hAnsi="Helvetica"/>
        </w:rPr>
        <w:t>261,740 rental properties confirming that the housing affordabili</w:t>
      </w:r>
      <w:r w:rsidR="00953887" w:rsidRPr="000035FA">
        <w:rPr>
          <w:rFonts w:ascii="Helvetica" w:hAnsi="Helvetica"/>
        </w:rPr>
        <w:t>ty crisis has not been addressed</w:t>
      </w:r>
      <w:r w:rsidRPr="000035FA">
        <w:rPr>
          <w:rFonts w:ascii="Helvetica" w:hAnsi="Helvetica"/>
        </w:rPr>
        <w:t xml:space="preserve"> by successive governments and continued to worsen.  We are now a society of two halves – those who rent and those who own property.  Not since the English times of Lords of the land and tenants has there been such a divide between the haves and have-nots.  </w:t>
      </w:r>
      <w:r w:rsidR="00953887" w:rsidRPr="000035FA">
        <w:rPr>
          <w:rFonts w:ascii="Helvetica" w:hAnsi="Helvetica"/>
        </w:rPr>
        <w:t>Trapped in the cycle of being unable to save due to high rents, r</w:t>
      </w:r>
      <w:r w:rsidRPr="000035FA">
        <w:rPr>
          <w:rFonts w:ascii="Helvetica" w:hAnsi="Helvetica"/>
        </w:rPr>
        <w:t xml:space="preserve">enters </w:t>
      </w:r>
      <w:r w:rsidR="00886D6B">
        <w:rPr>
          <w:rFonts w:ascii="Helvetica" w:hAnsi="Helvetica"/>
        </w:rPr>
        <w:t xml:space="preserve">are </w:t>
      </w:r>
      <w:r w:rsidR="00953887" w:rsidRPr="000035FA">
        <w:rPr>
          <w:rFonts w:ascii="Helvetica" w:hAnsi="Helvetica"/>
        </w:rPr>
        <w:t>further disadvantaged as</w:t>
      </w:r>
      <w:r w:rsidRPr="000035FA">
        <w:rPr>
          <w:rFonts w:ascii="Helvetica" w:hAnsi="Helvetica"/>
        </w:rPr>
        <w:t xml:space="preserve"> land owners </w:t>
      </w:r>
      <w:r w:rsidR="00886D6B">
        <w:rPr>
          <w:rFonts w:ascii="Helvetica" w:hAnsi="Helvetica"/>
        </w:rPr>
        <w:t>increase their wealth off property</w:t>
      </w:r>
      <w:r w:rsidRPr="000035FA">
        <w:rPr>
          <w:rFonts w:ascii="Helvetica" w:hAnsi="Helvetica"/>
        </w:rPr>
        <w:t>.</w:t>
      </w:r>
      <w:r w:rsidR="00CB6727" w:rsidRPr="000035FA">
        <w:rPr>
          <w:rFonts w:ascii="Helvetica" w:hAnsi="Helvetica"/>
        </w:rPr>
        <w:t xml:space="preserve">  </w:t>
      </w:r>
    </w:p>
    <w:p w14:paraId="1F0388E1" w14:textId="77777777" w:rsidR="00CB6727" w:rsidRPr="000035FA" w:rsidRDefault="00CB6727">
      <w:pPr>
        <w:rPr>
          <w:rFonts w:ascii="Helvetica" w:hAnsi="Helvetica"/>
        </w:rPr>
      </w:pPr>
      <w:r w:rsidRPr="000035FA">
        <w:rPr>
          <w:rFonts w:ascii="Helvetica" w:hAnsi="Helvetica"/>
        </w:rPr>
        <w:t xml:space="preserve">The competition for the rental properties is also so fierce that Housing </w:t>
      </w:r>
      <w:r w:rsidR="00EE0045">
        <w:rPr>
          <w:rFonts w:ascii="Helvetica" w:hAnsi="Helvetica"/>
        </w:rPr>
        <w:t>a</w:t>
      </w:r>
      <w:r w:rsidRPr="000035FA">
        <w:rPr>
          <w:rFonts w:ascii="Helvetica" w:hAnsi="Helvetica"/>
        </w:rPr>
        <w:t xml:space="preserve">ffordability </w:t>
      </w:r>
      <w:r w:rsidR="00EE0045">
        <w:rPr>
          <w:rFonts w:ascii="Helvetica" w:hAnsi="Helvetica"/>
        </w:rPr>
        <w:t>e</w:t>
      </w:r>
      <w:r w:rsidRPr="000035FA">
        <w:rPr>
          <w:rFonts w:ascii="Helvetica" w:hAnsi="Helvetica"/>
        </w:rPr>
        <w:t xml:space="preserve">xpert, Robert Snell says entering the rental market is the new hunger games for millennials. </w:t>
      </w:r>
      <w:r w:rsidR="00C14723" w:rsidRPr="000035FA">
        <w:rPr>
          <w:rFonts w:ascii="Helvetica" w:hAnsi="Helvetica"/>
        </w:rPr>
        <w:t>With vacancy rates hovering around two per cent tenants are forced to fight it out and outbid each other to get a property to rent – further pushing them into disadvantage.</w:t>
      </w:r>
      <w:r w:rsidRPr="000035FA">
        <w:rPr>
          <w:rFonts w:ascii="Helvetica" w:hAnsi="Helvetica"/>
        </w:rPr>
        <w:t xml:space="preserve"> “Once they have entered the rental market and have a HECS/HELP debt they have been allocated the new lowest caste in society – the forever renter.  Once caste</w:t>
      </w:r>
      <w:r w:rsidR="0082152A">
        <w:rPr>
          <w:rFonts w:ascii="Helvetica" w:hAnsi="Helvetica"/>
        </w:rPr>
        <w:t xml:space="preserve"> into </w:t>
      </w:r>
      <w:r w:rsidR="00C14723" w:rsidRPr="000035FA">
        <w:rPr>
          <w:rFonts w:ascii="Helvetica" w:hAnsi="Helvetica"/>
        </w:rPr>
        <w:t>high rent</w:t>
      </w:r>
      <w:r w:rsidR="0082152A">
        <w:rPr>
          <w:rFonts w:ascii="Helvetica" w:hAnsi="Helvetica"/>
        </w:rPr>
        <w:t xml:space="preserve">, </w:t>
      </w:r>
      <w:r w:rsidR="00953887" w:rsidRPr="000035FA">
        <w:rPr>
          <w:rFonts w:ascii="Helvetica" w:hAnsi="Helvetica"/>
        </w:rPr>
        <w:t>it is difficult for them</w:t>
      </w:r>
      <w:r w:rsidRPr="000035FA">
        <w:rPr>
          <w:rFonts w:ascii="Helvetica" w:hAnsi="Helvetica"/>
        </w:rPr>
        <w:t xml:space="preserve"> ever </w:t>
      </w:r>
      <w:r w:rsidR="00953887" w:rsidRPr="000035FA">
        <w:rPr>
          <w:rFonts w:ascii="Helvetica" w:hAnsi="Helvetica"/>
        </w:rPr>
        <w:t xml:space="preserve">to </w:t>
      </w:r>
      <w:r w:rsidRPr="000035FA">
        <w:rPr>
          <w:rFonts w:ascii="Helvetica" w:hAnsi="Helvetica"/>
        </w:rPr>
        <w:t xml:space="preserve">break out </w:t>
      </w:r>
      <w:r w:rsidR="0082152A">
        <w:rPr>
          <w:rFonts w:ascii="Helvetica" w:hAnsi="Helvetica"/>
        </w:rPr>
        <w:t xml:space="preserve">of the renting cycle </w:t>
      </w:r>
      <w:r w:rsidRPr="000035FA">
        <w:rPr>
          <w:rFonts w:ascii="Helvetica" w:hAnsi="Helvetica"/>
        </w:rPr>
        <w:t xml:space="preserve">and become and </w:t>
      </w:r>
      <w:r w:rsidR="00953887" w:rsidRPr="000035FA">
        <w:rPr>
          <w:rFonts w:ascii="Helvetica" w:hAnsi="Helvetica"/>
        </w:rPr>
        <w:t xml:space="preserve">an </w:t>
      </w:r>
      <w:r w:rsidRPr="000035FA">
        <w:rPr>
          <w:rFonts w:ascii="Helvetica" w:hAnsi="Helvetica"/>
        </w:rPr>
        <w:t>owner</w:t>
      </w:r>
      <w:r w:rsidR="00C14723" w:rsidRPr="000035FA">
        <w:rPr>
          <w:rFonts w:ascii="Helvetica" w:hAnsi="Helvetica"/>
        </w:rPr>
        <w:t>”</w:t>
      </w:r>
      <w:r w:rsidRPr="000035FA">
        <w:rPr>
          <w:rFonts w:ascii="Helvetica" w:hAnsi="Helvetica"/>
        </w:rPr>
        <w:t>.</w:t>
      </w:r>
    </w:p>
    <w:p w14:paraId="65A6E8F1" w14:textId="77777777" w:rsidR="007032F7" w:rsidRPr="000035FA" w:rsidRDefault="007032F7">
      <w:pPr>
        <w:rPr>
          <w:rFonts w:ascii="Helvetica" w:hAnsi="Helvetica"/>
        </w:rPr>
      </w:pPr>
      <w:r w:rsidRPr="000035FA">
        <w:rPr>
          <w:rFonts w:ascii="Helvetica" w:hAnsi="Helvetica"/>
        </w:rPr>
        <w:t xml:space="preserve">While the increasing reliance on rentals is disturbing, a deeper investigation into the </w:t>
      </w:r>
      <w:r w:rsidR="008A7FB0" w:rsidRPr="000035FA">
        <w:rPr>
          <w:rFonts w:ascii="Helvetica" w:hAnsi="Helvetica"/>
        </w:rPr>
        <w:t>Census data</w:t>
      </w:r>
      <w:r w:rsidRPr="000035FA">
        <w:rPr>
          <w:rFonts w:ascii="Helvetica" w:hAnsi="Helvetica"/>
        </w:rPr>
        <w:t xml:space="preserve"> reveals that the number of people living in those households is also increasing</w:t>
      </w:r>
      <w:r w:rsidR="008A7FB0" w:rsidRPr="000035FA">
        <w:rPr>
          <w:rFonts w:ascii="Helvetica" w:hAnsi="Helvetica"/>
        </w:rPr>
        <w:t>. This suggests that</w:t>
      </w:r>
      <w:r w:rsidRPr="000035FA">
        <w:rPr>
          <w:rFonts w:ascii="Helvetica" w:hAnsi="Helvetica"/>
        </w:rPr>
        <w:t xml:space="preserve"> families and non-related parties who can’t afford to buy and pay off their home </w:t>
      </w:r>
      <w:r w:rsidR="000035FA" w:rsidRPr="000035FA">
        <w:rPr>
          <w:rFonts w:ascii="Helvetica" w:hAnsi="Helvetica"/>
        </w:rPr>
        <w:lastRenderedPageBreak/>
        <w:t xml:space="preserve">and </w:t>
      </w:r>
      <w:r w:rsidRPr="000035FA">
        <w:rPr>
          <w:rFonts w:ascii="Helvetica" w:hAnsi="Helvetica"/>
        </w:rPr>
        <w:t>are forced</w:t>
      </w:r>
      <w:r w:rsidR="00D7493D" w:rsidRPr="000035FA">
        <w:rPr>
          <w:rFonts w:ascii="Helvetica" w:hAnsi="Helvetica"/>
        </w:rPr>
        <w:t xml:space="preserve"> into sharing</w:t>
      </w:r>
      <w:r w:rsidRPr="000035FA">
        <w:rPr>
          <w:rFonts w:ascii="Helvetica" w:hAnsi="Helvetica"/>
        </w:rPr>
        <w:t xml:space="preserve"> rental properties to </w:t>
      </w:r>
      <w:r w:rsidR="008A7FB0" w:rsidRPr="000035FA">
        <w:rPr>
          <w:rFonts w:ascii="Helvetica" w:hAnsi="Helvetica"/>
        </w:rPr>
        <w:t>keep a roof over their heads and make ends meet</w:t>
      </w:r>
      <w:r w:rsidRPr="000035FA">
        <w:rPr>
          <w:rFonts w:ascii="Helvetica" w:hAnsi="Helvetica"/>
        </w:rPr>
        <w:t xml:space="preserve">. </w:t>
      </w:r>
    </w:p>
    <w:p w14:paraId="4F435126" w14:textId="77777777" w:rsidR="001167AF" w:rsidRPr="000035FA" w:rsidRDefault="001167AF">
      <w:pPr>
        <w:rPr>
          <w:rFonts w:ascii="Helvetica" w:hAnsi="Helvetica"/>
        </w:rPr>
      </w:pPr>
      <w:r w:rsidRPr="000035FA">
        <w:rPr>
          <w:rFonts w:ascii="Helvetica" w:hAnsi="Helvetica"/>
        </w:rPr>
        <w:t xml:space="preserve">In the states that have the largest rental property increases, the Census data reveals that Victoria has a 43% increase in households with </w:t>
      </w:r>
      <w:r w:rsidR="000035FA" w:rsidRPr="000035FA">
        <w:rPr>
          <w:rFonts w:ascii="Helvetica" w:hAnsi="Helvetica"/>
        </w:rPr>
        <w:t>seven</w:t>
      </w:r>
      <w:r w:rsidRPr="000035FA">
        <w:rPr>
          <w:rFonts w:ascii="Helvetica" w:hAnsi="Helvetica"/>
        </w:rPr>
        <w:t xml:space="preserve"> people and a whopping 46% increase in households </w:t>
      </w:r>
      <w:r w:rsidR="008A7FB0" w:rsidRPr="000035FA">
        <w:rPr>
          <w:rFonts w:ascii="Helvetica" w:hAnsi="Helvetica"/>
        </w:rPr>
        <w:t xml:space="preserve">with </w:t>
      </w:r>
      <w:r w:rsidR="000035FA" w:rsidRPr="000035FA">
        <w:rPr>
          <w:rFonts w:ascii="Helvetica" w:hAnsi="Helvetica"/>
        </w:rPr>
        <w:t>eight</w:t>
      </w:r>
      <w:r w:rsidR="008A7FB0" w:rsidRPr="000035FA">
        <w:rPr>
          <w:rFonts w:ascii="Helvetica" w:hAnsi="Helvetica"/>
        </w:rPr>
        <w:t xml:space="preserve"> people or more over the last </w:t>
      </w:r>
      <w:r w:rsidR="000035FA" w:rsidRPr="000035FA">
        <w:rPr>
          <w:rFonts w:ascii="Helvetica" w:hAnsi="Helvetica"/>
        </w:rPr>
        <w:t>five</w:t>
      </w:r>
      <w:r w:rsidR="008A7FB0" w:rsidRPr="000035FA">
        <w:rPr>
          <w:rFonts w:ascii="Helvetica" w:hAnsi="Helvetica"/>
        </w:rPr>
        <w:t xml:space="preserve"> years.</w:t>
      </w:r>
    </w:p>
    <w:p w14:paraId="648CF259" w14:textId="77777777" w:rsidR="001167AF" w:rsidRPr="000035FA" w:rsidRDefault="001167AF">
      <w:pPr>
        <w:rPr>
          <w:rFonts w:ascii="Helvetica" w:hAnsi="Helvetica"/>
        </w:rPr>
      </w:pPr>
      <w:r w:rsidRPr="000035FA">
        <w:rPr>
          <w:rFonts w:ascii="Helvetica" w:hAnsi="Helvetica"/>
        </w:rPr>
        <w:t xml:space="preserve">New South Wales isn’t far behind. There has been a 30% increase in households with 7 persons and a 35% increase </w:t>
      </w:r>
      <w:r w:rsidR="000035FA" w:rsidRPr="000035FA">
        <w:rPr>
          <w:rFonts w:ascii="Helvetica" w:hAnsi="Helvetica"/>
        </w:rPr>
        <w:t>in</w:t>
      </w:r>
      <w:r w:rsidRPr="000035FA">
        <w:rPr>
          <w:rFonts w:ascii="Helvetica" w:hAnsi="Helvetica"/>
        </w:rPr>
        <w:t xml:space="preserve"> ho</w:t>
      </w:r>
      <w:r w:rsidR="008A7FB0" w:rsidRPr="000035FA">
        <w:rPr>
          <w:rFonts w:ascii="Helvetica" w:hAnsi="Helvetica"/>
        </w:rPr>
        <w:t>useholds with 8 persons or more over the same period.</w:t>
      </w:r>
    </w:p>
    <w:p w14:paraId="0E3A2E7B" w14:textId="77777777" w:rsidR="003F637C" w:rsidRPr="000035FA" w:rsidRDefault="003F637C" w:rsidP="003F637C">
      <w:pPr>
        <w:rPr>
          <w:rFonts w:ascii="Helvetica" w:hAnsi="Helvetica"/>
        </w:rPr>
      </w:pPr>
      <w:r w:rsidRPr="000035FA">
        <w:rPr>
          <w:rFonts w:ascii="Helvetica" w:hAnsi="Helvetica"/>
        </w:rPr>
        <w:t>Nationally, the Census data also shows that the number of persons in a rental household is also on the rise with the percentage increases in 7 and 8 or more person households as shown in the table below</w:t>
      </w:r>
      <w:r w:rsidR="0082152A">
        <w:rPr>
          <w:rFonts w:ascii="Helvetica" w:hAnsi="Helvetica"/>
        </w:rPr>
        <w:t xml:space="preserve"> (see data table at the end)</w:t>
      </w:r>
      <w:r w:rsidRPr="000035FA">
        <w:rPr>
          <w:rFonts w:ascii="Helvetica" w:hAnsi="Helvetica"/>
        </w:rPr>
        <w:t>.</w:t>
      </w:r>
    </w:p>
    <w:p w14:paraId="6915D89B" w14:textId="77777777" w:rsidR="00985E10" w:rsidRPr="000035FA" w:rsidRDefault="00D56C20">
      <w:pPr>
        <w:rPr>
          <w:rFonts w:ascii="Helvetica" w:hAnsi="Helvetica"/>
        </w:rPr>
      </w:pPr>
      <w:r w:rsidRPr="000035FA">
        <w:rPr>
          <w:rFonts w:ascii="Helvetica" w:hAnsi="Helvetica"/>
        </w:rPr>
        <w:t xml:space="preserve"> </w:t>
      </w:r>
      <w:r w:rsidR="00985E10" w:rsidRPr="000035FA">
        <w:rPr>
          <w:rFonts w:ascii="Helvetica" w:hAnsi="Helvetica"/>
        </w:rPr>
        <w:t xml:space="preserve">“The Census data </w:t>
      </w:r>
      <w:r w:rsidR="008A7FB0" w:rsidRPr="000035FA">
        <w:rPr>
          <w:rFonts w:ascii="Helvetica" w:hAnsi="Helvetica"/>
        </w:rPr>
        <w:t xml:space="preserve">provides </w:t>
      </w:r>
      <w:r w:rsidR="000035FA" w:rsidRPr="000035FA">
        <w:rPr>
          <w:rFonts w:ascii="Helvetica" w:hAnsi="Helvetica"/>
        </w:rPr>
        <w:t>a much-</w:t>
      </w:r>
      <w:r w:rsidR="00985E10" w:rsidRPr="000035FA">
        <w:rPr>
          <w:rFonts w:ascii="Helvetica" w:hAnsi="Helvetica"/>
        </w:rPr>
        <w:t>needed wake up call to all levels of government about the need to create an integrated approach to deal with housing affordability</w:t>
      </w:r>
      <w:r w:rsidR="000035FA" w:rsidRPr="000035FA">
        <w:rPr>
          <w:rFonts w:ascii="Helvetica" w:hAnsi="Helvetica"/>
        </w:rPr>
        <w:t>,</w:t>
      </w:r>
      <w:r w:rsidR="008A7FB0" w:rsidRPr="000035FA">
        <w:rPr>
          <w:rFonts w:ascii="Helvetica" w:hAnsi="Helvetica"/>
        </w:rPr>
        <w:t xml:space="preserve"> and there’s no hiding from the numbers</w:t>
      </w:r>
      <w:r w:rsidR="000035FA" w:rsidRPr="000035FA">
        <w:rPr>
          <w:rFonts w:ascii="Helvetica" w:hAnsi="Helvetica"/>
        </w:rPr>
        <w:t>,</w:t>
      </w:r>
      <w:r w:rsidR="00985E10" w:rsidRPr="000035FA">
        <w:rPr>
          <w:rFonts w:ascii="Helvetica" w:hAnsi="Helvetica"/>
        </w:rPr>
        <w:t xml:space="preserve">” says Robert Snell, Certified Financial Planner® and Housing Affordability Expert at </w:t>
      </w:r>
      <w:r w:rsidR="009E46D0" w:rsidRPr="000035FA">
        <w:rPr>
          <w:rFonts w:ascii="Helvetica" w:hAnsi="Helvetica"/>
        </w:rPr>
        <w:t xml:space="preserve">Financial Coaching and Advice firm </w:t>
      </w:r>
      <w:r w:rsidR="00985E10" w:rsidRPr="000035FA">
        <w:rPr>
          <w:rFonts w:ascii="Helvetica" w:hAnsi="Helvetica"/>
        </w:rPr>
        <w:t>Life Values</w:t>
      </w:r>
      <w:r w:rsidR="009E46D0" w:rsidRPr="000035FA">
        <w:rPr>
          <w:rFonts w:ascii="Helvetica" w:hAnsi="Helvetica"/>
        </w:rPr>
        <w:t>.</w:t>
      </w:r>
    </w:p>
    <w:p w14:paraId="0623ADCB" w14:textId="77777777" w:rsidR="00985E10" w:rsidRPr="000035FA" w:rsidRDefault="00C14723">
      <w:pPr>
        <w:rPr>
          <w:rFonts w:ascii="Helvetica" w:hAnsi="Helvetica"/>
        </w:rPr>
      </w:pPr>
      <w:r w:rsidRPr="000035FA">
        <w:rPr>
          <w:rFonts w:ascii="Helvetica" w:hAnsi="Helvetica"/>
        </w:rPr>
        <w:t>Robert also says that not only is t</w:t>
      </w:r>
      <w:r w:rsidR="00985E10" w:rsidRPr="000035FA">
        <w:rPr>
          <w:rFonts w:ascii="Helvetica" w:hAnsi="Helvetica"/>
        </w:rPr>
        <w:t xml:space="preserve">he rising number of rented households </w:t>
      </w:r>
      <w:r w:rsidR="008A7FB0" w:rsidRPr="000035FA">
        <w:rPr>
          <w:rFonts w:ascii="Helvetica" w:hAnsi="Helvetica"/>
        </w:rPr>
        <w:t>is</w:t>
      </w:r>
      <w:r w:rsidRPr="000035FA">
        <w:rPr>
          <w:rFonts w:ascii="Helvetica" w:hAnsi="Helvetica"/>
        </w:rPr>
        <w:t xml:space="preserve"> a major concern (</w:t>
      </w:r>
      <w:r w:rsidR="00985E10" w:rsidRPr="000035FA">
        <w:rPr>
          <w:rFonts w:ascii="Helvetica" w:hAnsi="Helvetica"/>
        </w:rPr>
        <w:t>given home ownership provides a basis for financial independence, especially later in life</w:t>
      </w:r>
      <w:r w:rsidRPr="000035FA">
        <w:rPr>
          <w:rFonts w:ascii="Helvetica" w:hAnsi="Helvetica"/>
        </w:rPr>
        <w:t>) but that “the</w:t>
      </w:r>
      <w:r w:rsidR="00985E10" w:rsidRPr="000035FA">
        <w:rPr>
          <w:rFonts w:ascii="Helvetica" w:hAnsi="Helvetica"/>
        </w:rPr>
        <w:t xml:space="preserve"> rising number of people per rented property is </w:t>
      </w:r>
      <w:r w:rsidR="009E46D0" w:rsidRPr="000035FA">
        <w:rPr>
          <w:rFonts w:ascii="Helvetica" w:hAnsi="Helvetica"/>
        </w:rPr>
        <w:t xml:space="preserve">frankly </w:t>
      </w:r>
      <w:r w:rsidR="00985E10" w:rsidRPr="000035FA">
        <w:rPr>
          <w:rFonts w:ascii="Helvetica" w:hAnsi="Helvetica"/>
        </w:rPr>
        <w:t>alarming</w:t>
      </w:r>
      <w:r w:rsidRPr="000035FA">
        <w:rPr>
          <w:rFonts w:ascii="Helvetica" w:hAnsi="Helvetica"/>
        </w:rPr>
        <w:t>!</w:t>
      </w:r>
      <w:r w:rsidR="00985E10" w:rsidRPr="000035FA">
        <w:rPr>
          <w:rFonts w:ascii="Helvetica" w:hAnsi="Helvetica"/>
        </w:rPr>
        <w:t xml:space="preserve"> </w:t>
      </w:r>
      <w:r w:rsidRPr="000035FA">
        <w:rPr>
          <w:rFonts w:ascii="Helvetica" w:hAnsi="Helvetica"/>
        </w:rPr>
        <w:t xml:space="preserve">The data </w:t>
      </w:r>
      <w:r w:rsidR="00985E10" w:rsidRPr="000035FA">
        <w:rPr>
          <w:rFonts w:ascii="Helvetica" w:hAnsi="Helvetica"/>
        </w:rPr>
        <w:t xml:space="preserve">shows that related and non-related </w:t>
      </w:r>
      <w:r w:rsidRPr="000035FA">
        <w:rPr>
          <w:rFonts w:ascii="Helvetica" w:hAnsi="Helvetica"/>
        </w:rPr>
        <w:t>people</w:t>
      </w:r>
      <w:r w:rsidR="00985E10" w:rsidRPr="000035FA">
        <w:rPr>
          <w:rFonts w:ascii="Helvetica" w:hAnsi="Helvetica"/>
        </w:rPr>
        <w:t xml:space="preserve"> are living together to keep a roof ove</w:t>
      </w:r>
      <w:r w:rsidRPr="000035FA">
        <w:rPr>
          <w:rFonts w:ascii="Helvetica" w:hAnsi="Helvetica"/>
        </w:rPr>
        <w:t>r their heads</w:t>
      </w:r>
      <w:r w:rsidR="00985E10" w:rsidRPr="000035FA">
        <w:rPr>
          <w:rFonts w:ascii="Helvetica" w:hAnsi="Helvetica"/>
        </w:rPr>
        <w:t>”</w:t>
      </w:r>
      <w:r w:rsidRPr="000035FA">
        <w:rPr>
          <w:rFonts w:ascii="Helvetica" w:hAnsi="Helvetica"/>
        </w:rPr>
        <w:t>.</w:t>
      </w:r>
    </w:p>
    <w:p w14:paraId="21CF0569" w14:textId="77777777" w:rsidR="00985E10" w:rsidRPr="000035FA" w:rsidRDefault="00985E10">
      <w:pPr>
        <w:rPr>
          <w:rFonts w:ascii="Helvetica" w:hAnsi="Helvetica"/>
        </w:rPr>
      </w:pPr>
      <w:r w:rsidRPr="000035FA">
        <w:rPr>
          <w:rFonts w:ascii="Helvetica" w:hAnsi="Helvetica"/>
        </w:rPr>
        <w:t>“I find the lack of an integrated government policy on housing affordability to be a policy failure by all current</w:t>
      </w:r>
      <w:r w:rsidR="00C14723" w:rsidRPr="000035FA">
        <w:rPr>
          <w:rFonts w:ascii="Helvetica" w:hAnsi="Helvetica"/>
        </w:rPr>
        <w:t xml:space="preserve"> and recent</w:t>
      </w:r>
      <w:r w:rsidRPr="000035FA">
        <w:rPr>
          <w:rFonts w:ascii="Helvetica" w:hAnsi="Helvetica"/>
        </w:rPr>
        <w:t xml:space="preserve"> governments. Their efforts </w:t>
      </w:r>
      <w:r w:rsidR="00C14723" w:rsidRPr="000035FA">
        <w:rPr>
          <w:rFonts w:ascii="Helvetica" w:hAnsi="Helvetica"/>
        </w:rPr>
        <w:t>have been</w:t>
      </w:r>
      <w:r w:rsidRPr="000035FA">
        <w:rPr>
          <w:rFonts w:ascii="Helvetica" w:hAnsi="Helvetica"/>
        </w:rPr>
        <w:t xml:space="preserve"> piece</w:t>
      </w:r>
      <w:r w:rsidR="00C14723" w:rsidRPr="000035FA">
        <w:rPr>
          <w:rFonts w:ascii="Helvetica" w:hAnsi="Helvetica"/>
        </w:rPr>
        <w:t>meal,</w:t>
      </w:r>
      <w:r w:rsidRPr="000035FA">
        <w:rPr>
          <w:rFonts w:ascii="Helvetica" w:hAnsi="Helvetica"/>
        </w:rPr>
        <w:t xml:space="preserve"> not one of them has</w:t>
      </w:r>
      <w:r w:rsidR="00C14723" w:rsidRPr="000035FA">
        <w:rPr>
          <w:rFonts w:ascii="Helvetica" w:hAnsi="Helvetica"/>
        </w:rPr>
        <w:t xml:space="preserve"> even bothered to</w:t>
      </w:r>
      <w:r w:rsidRPr="000035FA">
        <w:rPr>
          <w:rFonts w:ascii="Helvetica" w:hAnsi="Helvetica"/>
        </w:rPr>
        <w:t xml:space="preserve"> set a housing </w:t>
      </w:r>
      <w:r w:rsidR="009E46D0" w:rsidRPr="000035FA">
        <w:rPr>
          <w:rFonts w:ascii="Helvetica" w:hAnsi="Helvetica"/>
        </w:rPr>
        <w:t>affordability target</w:t>
      </w:r>
      <w:r w:rsidR="000035FA" w:rsidRPr="000035FA">
        <w:rPr>
          <w:rFonts w:ascii="Helvetica" w:hAnsi="Helvetica"/>
        </w:rPr>
        <w:t>,</w:t>
      </w:r>
      <w:r w:rsidR="00C14723" w:rsidRPr="000035FA">
        <w:rPr>
          <w:rFonts w:ascii="Helvetica" w:hAnsi="Helvetica"/>
        </w:rPr>
        <w:t xml:space="preserve"> and we all know ‘if you don’t count it when it comes to policy, it doesn’t matter’. We have to ask, h</w:t>
      </w:r>
      <w:r w:rsidRPr="000035FA">
        <w:rPr>
          <w:rFonts w:ascii="Helvetica" w:hAnsi="Helvetica"/>
        </w:rPr>
        <w:t>ow many Australians should be able to afford to buy and pay off a home? The refusal to set a target shows they’re just not serious about helping young Australians in particular buy and pay off a home.”</w:t>
      </w:r>
    </w:p>
    <w:p w14:paraId="1E0F5D9F" w14:textId="77777777" w:rsidR="00C14723" w:rsidRPr="000035FA" w:rsidRDefault="00985E10" w:rsidP="00C14723">
      <w:pPr>
        <w:rPr>
          <w:rFonts w:ascii="Helvetica" w:hAnsi="Helvetica"/>
        </w:rPr>
      </w:pPr>
      <w:r w:rsidRPr="000035FA">
        <w:rPr>
          <w:rFonts w:ascii="Helvetica" w:hAnsi="Helvetica"/>
        </w:rPr>
        <w:t>Robert challenge</w:t>
      </w:r>
      <w:r w:rsidR="008A7FB0" w:rsidRPr="000035FA">
        <w:rPr>
          <w:rFonts w:ascii="Helvetica" w:hAnsi="Helvetica"/>
        </w:rPr>
        <w:t>s</w:t>
      </w:r>
      <w:r w:rsidRPr="000035FA">
        <w:rPr>
          <w:rFonts w:ascii="Helvetica" w:hAnsi="Helvetica"/>
        </w:rPr>
        <w:t xml:space="preserve"> policy makers at all levels of government to set housing affordability targets</w:t>
      </w:r>
      <w:r w:rsidR="000035FA" w:rsidRPr="000035FA">
        <w:rPr>
          <w:rFonts w:ascii="Helvetica" w:hAnsi="Helvetica"/>
        </w:rPr>
        <w:t xml:space="preserve"> and implement policy from</w:t>
      </w:r>
      <w:r w:rsidR="009E46D0" w:rsidRPr="000035FA">
        <w:rPr>
          <w:rFonts w:ascii="Helvetica" w:hAnsi="Helvetica"/>
        </w:rPr>
        <w:t xml:space="preserve"> targets</w:t>
      </w:r>
      <w:r w:rsidRPr="000035FA">
        <w:rPr>
          <w:rFonts w:ascii="Helvetica" w:hAnsi="Helvetica"/>
        </w:rPr>
        <w:t>. He doubts though that they have the political will, given topics like</w:t>
      </w:r>
      <w:r w:rsidR="008A7FB0" w:rsidRPr="000035FA">
        <w:rPr>
          <w:rFonts w:ascii="Helvetica" w:hAnsi="Helvetica"/>
        </w:rPr>
        <w:t xml:space="preserve"> negative</w:t>
      </w:r>
      <w:r w:rsidR="000035FA" w:rsidRPr="000035FA">
        <w:rPr>
          <w:rFonts w:ascii="Helvetica" w:hAnsi="Helvetica"/>
        </w:rPr>
        <w:t xml:space="preserve"> gearing have </w:t>
      </w:r>
      <w:r w:rsidRPr="000035FA">
        <w:rPr>
          <w:rFonts w:ascii="Helvetica" w:hAnsi="Helvetica"/>
        </w:rPr>
        <w:t xml:space="preserve">become political </w:t>
      </w:r>
      <w:r w:rsidR="008A7FB0" w:rsidRPr="000035FA">
        <w:rPr>
          <w:rFonts w:ascii="Helvetica" w:hAnsi="Helvetica"/>
        </w:rPr>
        <w:t>footballs</w:t>
      </w:r>
      <w:r w:rsidRPr="000035FA">
        <w:rPr>
          <w:rFonts w:ascii="Helvetica" w:hAnsi="Helvetica"/>
        </w:rPr>
        <w:t>, rather than a policy setting for what’</w:t>
      </w:r>
      <w:r w:rsidR="008A7FB0" w:rsidRPr="000035FA">
        <w:rPr>
          <w:rFonts w:ascii="Helvetica" w:hAnsi="Helvetica"/>
        </w:rPr>
        <w:t>s in the national interest.</w:t>
      </w:r>
      <w:r w:rsidR="00C14723" w:rsidRPr="000035FA">
        <w:rPr>
          <w:rFonts w:ascii="Helvetica" w:hAnsi="Helvetica"/>
        </w:rPr>
        <w:t xml:space="preserve">  </w:t>
      </w:r>
    </w:p>
    <w:p w14:paraId="4E875362" w14:textId="77777777" w:rsidR="00985E10" w:rsidRPr="000035FA" w:rsidRDefault="00C14723">
      <w:pPr>
        <w:rPr>
          <w:rFonts w:ascii="Helvetica" w:hAnsi="Helvetica"/>
          <w:b/>
          <w:bCs/>
        </w:rPr>
      </w:pPr>
      <w:r w:rsidRPr="000035FA">
        <w:rPr>
          <w:rFonts w:ascii="Helvetica" w:hAnsi="Helvetica"/>
        </w:rPr>
        <w:t xml:space="preserve">His </w:t>
      </w:r>
      <w:r w:rsidR="00CF68ED">
        <w:rPr>
          <w:rFonts w:ascii="Helvetica" w:hAnsi="Helvetica"/>
        </w:rPr>
        <w:t>discussion</w:t>
      </w:r>
      <w:r w:rsidRPr="000035FA">
        <w:rPr>
          <w:rFonts w:ascii="Helvetica" w:hAnsi="Helvetica"/>
        </w:rPr>
        <w:t xml:space="preserve"> paper on housing affordability ‘</w:t>
      </w:r>
      <w:hyperlink r:id="rId8" w:history="1">
        <w:r w:rsidRPr="000035FA">
          <w:rPr>
            <w:rStyle w:val="Hyperlink"/>
            <w:rFonts w:ascii="Helvetica" w:hAnsi="Helvetica"/>
          </w:rPr>
          <w:t>The real home truth:</w:t>
        </w:r>
        <w:r w:rsidRPr="000035FA">
          <w:rPr>
            <w:rStyle w:val="Hyperlink"/>
            <w:rFonts w:ascii="Helvetica" w:eastAsia="Times New Roman" w:hAnsi="Helvetica" w:cs="Times New Roman"/>
            <w:spacing w:val="15"/>
            <w:sz w:val="33"/>
            <w:szCs w:val="33"/>
          </w:rPr>
          <w:t xml:space="preserve"> </w:t>
        </w:r>
        <w:r w:rsidRPr="000035FA">
          <w:rPr>
            <w:rStyle w:val="Hyperlink"/>
            <w:rFonts w:ascii="Helvetica" w:hAnsi="Helvetica"/>
            <w:bCs/>
          </w:rPr>
          <w:t>Why unaffordable housing for Young Australians hurts us all’</w:t>
        </w:r>
      </w:hyperlink>
      <w:r w:rsidRPr="000035FA">
        <w:rPr>
          <w:rFonts w:ascii="Helvetica" w:hAnsi="Helvetica"/>
        </w:rPr>
        <w:t xml:space="preserve"> sets out a plan for change as he takes on the personal challenge of </w:t>
      </w:r>
      <w:r w:rsidR="00652E97" w:rsidRPr="000035FA">
        <w:rPr>
          <w:rFonts w:ascii="Helvetica" w:hAnsi="Helvetica"/>
        </w:rPr>
        <w:t xml:space="preserve">coaching 1000 young Australians buy their first home through the </w:t>
      </w:r>
      <w:hyperlink r:id="rId9" w:history="1">
        <w:r w:rsidR="00652E97" w:rsidRPr="000035FA">
          <w:rPr>
            <w:rStyle w:val="Hyperlink"/>
            <w:rFonts w:ascii="Helvetica" w:hAnsi="Helvetica"/>
          </w:rPr>
          <w:t>‘Own It’</w:t>
        </w:r>
      </w:hyperlink>
      <w:r w:rsidR="00652E97" w:rsidRPr="000035FA">
        <w:rPr>
          <w:rFonts w:ascii="Helvetica" w:hAnsi="Helvetica"/>
        </w:rPr>
        <w:t xml:space="preserve"> program.  “It’s not only an economic imperative for future generations, but for me, it’s a social justice issue</w:t>
      </w:r>
      <w:r w:rsidR="000035FA" w:rsidRPr="000035FA">
        <w:rPr>
          <w:rFonts w:ascii="Helvetica" w:hAnsi="Helvetica"/>
        </w:rPr>
        <w:t>,</w:t>
      </w:r>
      <w:r w:rsidR="00652E97" w:rsidRPr="000035FA">
        <w:rPr>
          <w:rFonts w:ascii="Helvetica" w:hAnsi="Helvetica"/>
        </w:rPr>
        <w:t>” he said.</w:t>
      </w:r>
    </w:p>
    <w:p w14:paraId="3896C067" w14:textId="77777777" w:rsidR="003F637C" w:rsidRPr="000035FA" w:rsidRDefault="003F637C">
      <w:pPr>
        <w:rPr>
          <w:rFonts w:ascii="Helvetica" w:hAnsi="Helvetica"/>
        </w:rPr>
      </w:pPr>
      <w:r w:rsidRPr="000035FA">
        <w:rPr>
          <w:rFonts w:ascii="Helvetica" w:hAnsi="Helvetica"/>
        </w:rPr>
        <w:t xml:space="preserve">Robert says </w:t>
      </w:r>
      <w:r w:rsidR="009E46D0" w:rsidRPr="000035FA">
        <w:rPr>
          <w:rFonts w:ascii="Helvetica" w:hAnsi="Helvetica"/>
        </w:rPr>
        <w:t>governments are</w:t>
      </w:r>
      <w:r w:rsidR="00985E10" w:rsidRPr="000035FA">
        <w:rPr>
          <w:rFonts w:ascii="Helvetica" w:hAnsi="Helvetica"/>
        </w:rPr>
        <w:t xml:space="preserve"> robbing Young Australians of a secure and independent financial future</w:t>
      </w:r>
      <w:r w:rsidRPr="000035FA">
        <w:rPr>
          <w:rFonts w:ascii="Helvetica" w:hAnsi="Helvetica"/>
        </w:rPr>
        <w:t xml:space="preserve"> and that hurts every Australian, given the impacts it will </w:t>
      </w:r>
      <w:r w:rsidR="009E46D0" w:rsidRPr="000035FA">
        <w:rPr>
          <w:rFonts w:ascii="Helvetica" w:hAnsi="Helvetica"/>
        </w:rPr>
        <w:t>create</w:t>
      </w:r>
      <w:r w:rsidR="008A7FB0" w:rsidRPr="000035FA">
        <w:rPr>
          <w:rFonts w:ascii="Helvetica" w:hAnsi="Helvetica"/>
        </w:rPr>
        <w:t xml:space="preserve">. He believes we’re at the dawn of changing Australian society permanently, creating future generations of </w:t>
      </w:r>
      <w:r w:rsidR="00D7493D" w:rsidRPr="000035FA">
        <w:rPr>
          <w:rFonts w:ascii="Helvetica" w:hAnsi="Helvetica"/>
        </w:rPr>
        <w:t xml:space="preserve">permanent renters - </w:t>
      </w:r>
      <w:r w:rsidR="000621A8" w:rsidRPr="000035FA">
        <w:rPr>
          <w:rFonts w:ascii="Helvetica" w:hAnsi="Helvetica"/>
        </w:rPr>
        <w:t>K</w:t>
      </w:r>
      <w:r w:rsidR="000621A8">
        <w:rPr>
          <w:rFonts w:ascii="Helvetica" w:hAnsi="Helvetica"/>
        </w:rPr>
        <w:t>R</w:t>
      </w:r>
      <w:r w:rsidR="000621A8" w:rsidRPr="000035FA">
        <w:rPr>
          <w:rFonts w:ascii="Helvetica" w:hAnsi="Helvetica"/>
        </w:rPr>
        <w:t xml:space="preserve">AMPPs </w:t>
      </w:r>
      <w:r w:rsidR="00F706B2" w:rsidRPr="000035FA">
        <w:rPr>
          <w:rFonts w:ascii="Helvetica" w:hAnsi="Helvetica"/>
        </w:rPr>
        <w:t>–</w:t>
      </w:r>
      <w:r w:rsidR="008A7FB0" w:rsidRPr="000035FA">
        <w:rPr>
          <w:rFonts w:ascii="Helvetica" w:hAnsi="Helvetica"/>
        </w:rPr>
        <w:t xml:space="preserve"> </w:t>
      </w:r>
      <w:r w:rsidR="00D7493D" w:rsidRPr="000035FA">
        <w:rPr>
          <w:rFonts w:ascii="Helvetica" w:hAnsi="Helvetica"/>
        </w:rPr>
        <w:t xml:space="preserve">Kids </w:t>
      </w:r>
      <w:r w:rsidR="000621A8">
        <w:rPr>
          <w:rFonts w:ascii="Helvetica" w:hAnsi="Helvetica"/>
        </w:rPr>
        <w:t>Renting</w:t>
      </w:r>
      <w:r w:rsidR="000621A8" w:rsidRPr="000035FA">
        <w:rPr>
          <w:rFonts w:ascii="Helvetica" w:hAnsi="Helvetica"/>
        </w:rPr>
        <w:t xml:space="preserve"> </w:t>
      </w:r>
      <w:r w:rsidR="00D7493D" w:rsidRPr="000035FA">
        <w:rPr>
          <w:rFonts w:ascii="Helvetica" w:hAnsi="Helvetica"/>
        </w:rPr>
        <w:t>Amongst Massive Prices</w:t>
      </w:r>
      <w:r w:rsidR="00022D85">
        <w:rPr>
          <w:rFonts w:ascii="Helvetica" w:hAnsi="Helvetica"/>
        </w:rPr>
        <w:t xml:space="preserve"> Permanently</w:t>
      </w:r>
      <w:r w:rsidR="00D7493D" w:rsidRPr="000035FA">
        <w:rPr>
          <w:rFonts w:ascii="Helvetica" w:hAnsi="Helvetica"/>
        </w:rPr>
        <w:t>.</w:t>
      </w:r>
    </w:p>
    <w:p w14:paraId="0A5FF52E" w14:textId="77777777" w:rsidR="003F637C" w:rsidRPr="000035FA" w:rsidRDefault="003F637C" w:rsidP="003F637C">
      <w:pPr>
        <w:rPr>
          <w:rFonts w:ascii="Helvetica" w:hAnsi="Helvetica"/>
        </w:rPr>
      </w:pPr>
      <w:r w:rsidRPr="000035FA">
        <w:rPr>
          <w:rFonts w:ascii="Helvetica" w:hAnsi="Helvetica"/>
        </w:rPr>
        <w:t>“</w:t>
      </w:r>
      <w:r w:rsidR="00985E10" w:rsidRPr="000035FA">
        <w:rPr>
          <w:rFonts w:ascii="Helvetica" w:hAnsi="Helvetica"/>
        </w:rPr>
        <w:t xml:space="preserve">That’s why we need to create a non-political entity to advise the government on how to improve housing affordability. </w:t>
      </w:r>
      <w:r w:rsidRPr="000035FA">
        <w:rPr>
          <w:rFonts w:ascii="Helvetica" w:hAnsi="Helvetica"/>
        </w:rPr>
        <w:t xml:space="preserve">I propose we create a National Housing Affordability Planning </w:t>
      </w:r>
      <w:r w:rsidRPr="000035FA">
        <w:rPr>
          <w:rFonts w:ascii="Helvetica" w:hAnsi="Helvetica"/>
        </w:rPr>
        <w:lastRenderedPageBreak/>
        <w:t>Organisation (</w:t>
      </w:r>
      <w:r w:rsidRPr="000035FA">
        <w:rPr>
          <w:rFonts w:ascii="Helvetica" w:hAnsi="Helvetica"/>
          <w:noProof/>
        </w:rPr>
        <w:t>NHAPO</w:t>
      </w:r>
      <w:r w:rsidRPr="000035FA">
        <w:rPr>
          <w:rFonts w:ascii="Helvetica" w:hAnsi="Helvetica"/>
        </w:rPr>
        <w:t xml:space="preserve">). </w:t>
      </w:r>
      <w:r w:rsidRPr="000035FA">
        <w:rPr>
          <w:rFonts w:ascii="Helvetica" w:hAnsi="Helvetica"/>
          <w:noProof/>
        </w:rPr>
        <w:t>NHAPO</w:t>
      </w:r>
      <w:r w:rsidRPr="000035FA">
        <w:rPr>
          <w:rFonts w:ascii="Helvetica" w:hAnsi="Helvetica"/>
        </w:rPr>
        <w:t xml:space="preserve"> would have access to </w:t>
      </w:r>
      <w:r w:rsidRPr="000035FA">
        <w:rPr>
          <w:rFonts w:ascii="Helvetica" w:hAnsi="Helvetica"/>
          <w:noProof/>
        </w:rPr>
        <w:t>high-level</w:t>
      </w:r>
      <w:r w:rsidRPr="000035FA">
        <w:rPr>
          <w:rFonts w:ascii="Helvetica" w:hAnsi="Helvetica"/>
        </w:rPr>
        <w:t xml:space="preserve"> economic analysis and could then work with existing </w:t>
      </w:r>
      <w:r w:rsidRPr="000035FA">
        <w:rPr>
          <w:rFonts w:ascii="Helvetica" w:hAnsi="Helvetica"/>
          <w:noProof/>
        </w:rPr>
        <w:t>city-based</w:t>
      </w:r>
      <w:r w:rsidRPr="000035FA">
        <w:rPr>
          <w:rFonts w:ascii="Helvetica" w:hAnsi="Helvetica"/>
        </w:rPr>
        <w:t xml:space="preserve"> groups such as The Greater Sydney Commission along with infrastructure bodies such as infrastructure Australia as well as Federal, State, Local Governments and their Departments. </w:t>
      </w:r>
      <w:r w:rsidRPr="000035FA">
        <w:rPr>
          <w:rFonts w:ascii="Helvetica" w:hAnsi="Helvetica"/>
          <w:noProof/>
        </w:rPr>
        <w:t>NHAPO</w:t>
      </w:r>
      <w:r w:rsidRPr="000035FA">
        <w:rPr>
          <w:rFonts w:ascii="Helvetica" w:hAnsi="Helvetica"/>
        </w:rPr>
        <w:t xml:space="preserve"> should be given the power to set interim and long-term housing affordability targets for each city with a focus on infrastructure to make the cities more </w:t>
      </w:r>
      <w:r w:rsidR="000035FA" w:rsidRPr="000035FA">
        <w:rPr>
          <w:rFonts w:ascii="Helvetica" w:hAnsi="Helvetica"/>
          <w:noProof/>
        </w:rPr>
        <w:t>liv</w:t>
      </w:r>
      <w:r w:rsidRPr="000035FA">
        <w:rPr>
          <w:rFonts w:ascii="Helvetica" w:hAnsi="Helvetica"/>
          <w:noProof/>
        </w:rPr>
        <w:t>able</w:t>
      </w:r>
      <w:r w:rsidRPr="000035FA">
        <w:rPr>
          <w:rFonts w:ascii="Helvetica" w:hAnsi="Helvetica"/>
        </w:rPr>
        <w:t xml:space="preserve"> and more capable of dealing with immigration and population growth. </w:t>
      </w:r>
      <w:r w:rsidRPr="000035FA">
        <w:rPr>
          <w:rFonts w:ascii="Helvetica" w:hAnsi="Helvetica"/>
          <w:noProof/>
        </w:rPr>
        <w:t>NHAPO</w:t>
      </w:r>
      <w:r w:rsidRPr="000035FA">
        <w:rPr>
          <w:rFonts w:ascii="Helvetica" w:hAnsi="Helvetica"/>
        </w:rPr>
        <w:t xml:space="preserve"> would also need to have the authority to convert the planning into action.  This process also needs to get greater consensus among local communities where change will occur and those who will need to build the developments. So a very open and continuous process of consultation and communication will be required. I believe that having articulated housing affordability goals will aid local communities in better understanding the reasons for </w:t>
      </w:r>
      <w:r w:rsidR="000035FA" w:rsidRPr="000035FA">
        <w:rPr>
          <w:rFonts w:ascii="Helvetica" w:hAnsi="Helvetica"/>
        </w:rPr>
        <w:t xml:space="preserve">a </w:t>
      </w:r>
      <w:r w:rsidRPr="000035FA">
        <w:rPr>
          <w:rFonts w:ascii="Helvetica" w:hAnsi="Helvetica"/>
        </w:rPr>
        <w:t>change.”</w:t>
      </w:r>
    </w:p>
    <w:p w14:paraId="1E4D9D4F" w14:textId="77777777" w:rsidR="007032F7" w:rsidRPr="000035FA" w:rsidRDefault="009E46D0">
      <w:pPr>
        <w:rPr>
          <w:rFonts w:ascii="Helvetica" w:hAnsi="Helvetica"/>
        </w:rPr>
      </w:pPr>
      <w:r w:rsidRPr="000035FA">
        <w:rPr>
          <w:rFonts w:ascii="Helvetica" w:hAnsi="Helvetica"/>
        </w:rPr>
        <w:t>Life Values helps Young Australians buy and pay off a home with their Own It coaching and advice program. They re</w:t>
      </w:r>
      <w:r w:rsidR="00D7493D" w:rsidRPr="000035FA">
        <w:rPr>
          <w:rFonts w:ascii="Helvetica" w:hAnsi="Helvetica"/>
        </w:rPr>
        <w:t>alise</w:t>
      </w:r>
      <w:r w:rsidRPr="000035FA">
        <w:rPr>
          <w:rFonts w:ascii="Helvetica" w:hAnsi="Helvetica"/>
        </w:rPr>
        <w:t xml:space="preserve"> though that they can’t help everyone, that’s why they’re also lobbying for change. </w:t>
      </w:r>
    </w:p>
    <w:p w14:paraId="2298B100" w14:textId="77777777" w:rsidR="009E46D0" w:rsidRPr="000035FA" w:rsidRDefault="009E46D0">
      <w:pPr>
        <w:rPr>
          <w:rFonts w:ascii="Helvetica" w:hAnsi="Helvetica"/>
        </w:rPr>
      </w:pPr>
      <w:r w:rsidRPr="000035FA">
        <w:rPr>
          <w:rFonts w:ascii="Helvetica" w:hAnsi="Helvetica"/>
        </w:rPr>
        <w:t>-END</w:t>
      </w:r>
      <w:r w:rsidR="00D56C20" w:rsidRPr="000035FA">
        <w:rPr>
          <w:rFonts w:ascii="Helvetica" w:hAnsi="Helvetica"/>
        </w:rPr>
        <w:t>s</w:t>
      </w:r>
      <w:r w:rsidRPr="000035FA">
        <w:rPr>
          <w:rFonts w:ascii="Helvetica" w:hAnsi="Helvetica"/>
        </w:rPr>
        <w:t>-</w:t>
      </w:r>
    </w:p>
    <w:p w14:paraId="56CB038C" w14:textId="77777777" w:rsidR="00652E97" w:rsidRPr="000035FA" w:rsidRDefault="00652E97">
      <w:pPr>
        <w:rPr>
          <w:rFonts w:ascii="Helvetica" w:hAnsi="Helvetica"/>
          <w:b/>
        </w:rPr>
      </w:pPr>
      <w:r w:rsidRPr="000035FA">
        <w:rPr>
          <w:rFonts w:ascii="Helvetica" w:hAnsi="Helvetica"/>
          <w:b/>
        </w:rPr>
        <w:t>Further Information</w:t>
      </w:r>
    </w:p>
    <w:p w14:paraId="4553F4B1" w14:textId="77777777" w:rsidR="000035FA" w:rsidRPr="00CF68ED" w:rsidRDefault="000B15F2" w:rsidP="00652E97">
      <w:pPr>
        <w:pStyle w:val="Normal1"/>
        <w:rPr>
          <w:rFonts w:ascii="Helvetica" w:eastAsia="Helvetica Neue" w:hAnsi="Helvetica" w:cs="Helvetica Neue"/>
          <w:color w:val="333333"/>
          <w:sz w:val="20"/>
        </w:rPr>
      </w:pPr>
      <w:r w:rsidRPr="000B15F2">
        <w:rPr>
          <w:rFonts w:ascii="Helvetica" w:eastAsia="Helvetica Neue" w:hAnsi="Helvetica" w:cs="Helvetica Neue"/>
          <w:color w:val="333333"/>
          <w:sz w:val="20"/>
        </w:rPr>
        <w:t xml:space="preserve">Go to: </w:t>
      </w:r>
      <w:hyperlink r:id="rId10" w:history="1">
        <w:r w:rsidRPr="000B15F2">
          <w:rPr>
            <w:rStyle w:val="Hyperlink"/>
            <w:rFonts w:ascii="Helvetica" w:eastAsia="Helvetica Neue" w:hAnsi="Helvetica" w:cs="Helvetica Neue"/>
            <w:sz w:val="20"/>
          </w:rPr>
          <w:t>www.lifevalues.com.au</w:t>
        </w:r>
      </w:hyperlink>
      <w:r w:rsidRPr="000B15F2">
        <w:rPr>
          <w:rFonts w:ascii="Helvetica" w:eastAsia="Helvetica Neue" w:hAnsi="Helvetica" w:cs="Helvetica Neue"/>
          <w:color w:val="333333"/>
          <w:sz w:val="20"/>
        </w:rPr>
        <w:t xml:space="preserve"> </w:t>
      </w:r>
    </w:p>
    <w:p w14:paraId="40DEF42E" w14:textId="77777777" w:rsidR="00652E97" w:rsidRPr="00CF68ED" w:rsidRDefault="000B15F2" w:rsidP="00652E97">
      <w:pPr>
        <w:pStyle w:val="Normal1"/>
        <w:rPr>
          <w:rFonts w:ascii="Helvetica" w:eastAsia="Helvetica Neue" w:hAnsi="Helvetica" w:cs="Helvetica Neue"/>
          <w:sz w:val="20"/>
        </w:rPr>
      </w:pPr>
      <w:r w:rsidRPr="000B15F2">
        <w:rPr>
          <w:rFonts w:ascii="Helvetica" w:eastAsia="Helvetica Neue" w:hAnsi="Helvetica" w:cs="Helvetica Neue"/>
          <w:color w:val="333333"/>
          <w:sz w:val="20"/>
        </w:rPr>
        <w:t>Housing Affordability Expert, Robert Snell has a personal challenge: To help 1000 young people buy and pay off their first home in 80-120 months   He believes that if you work in a city, you should have a reasonable chance to buy a home in that city and that rising home prices are not a sign of success – being able to house your population is. He feels at some point, a home must just be a home and not an investment if Australia is to continue to house its growing population.</w:t>
      </w:r>
    </w:p>
    <w:p w14:paraId="444A664C" w14:textId="77777777" w:rsidR="00652E97" w:rsidRPr="00CF68ED" w:rsidRDefault="000B15F2" w:rsidP="00652E97">
      <w:pPr>
        <w:pStyle w:val="Normal1"/>
        <w:rPr>
          <w:rFonts w:ascii="Helvetica" w:eastAsia="Helvetica Neue" w:hAnsi="Helvetica" w:cs="Helvetica Neue"/>
          <w:sz w:val="20"/>
        </w:rPr>
      </w:pPr>
      <w:r w:rsidRPr="000B15F2">
        <w:rPr>
          <w:rFonts w:ascii="Helvetica" w:eastAsia="Helvetica Neue" w:hAnsi="Helvetica" w:cs="Helvetica Neue"/>
          <w:color w:val="333333"/>
          <w:sz w:val="20"/>
        </w:rPr>
        <w:t>Robert has written and submitted a White Paper called, THE REAL HOME TRUTH: Why Unaffordable Housing for Young Australians Hurts Us All. It explains historically how we got to this situation in Australia and how we can turn things around.</w:t>
      </w:r>
    </w:p>
    <w:p w14:paraId="7543466D" w14:textId="77777777" w:rsidR="00652E97" w:rsidRPr="00CF68ED" w:rsidRDefault="000B15F2" w:rsidP="00652E97">
      <w:pPr>
        <w:pStyle w:val="Normal1"/>
        <w:rPr>
          <w:rFonts w:ascii="Helvetica" w:eastAsia="Helvetica Neue" w:hAnsi="Helvetica" w:cs="Helvetica Neue"/>
          <w:sz w:val="20"/>
        </w:rPr>
      </w:pPr>
      <w:r w:rsidRPr="000B15F2">
        <w:rPr>
          <w:rFonts w:ascii="Helvetica" w:eastAsia="Helvetica Neue" w:hAnsi="Helvetica" w:cs="Helvetica Neue"/>
          <w:color w:val="333333"/>
          <w:sz w:val="20"/>
        </w:rPr>
        <w:t>Robert Snell is available to discuss:</w:t>
      </w:r>
    </w:p>
    <w:p w14:paraId="30F1B51E" w14:textId="77777777" w:rsidR="008B0308" w:rsidRDefault="000B15F2">
      <w:pPr>
        <w:pStyle w:val="Normal1"/>
        <w:spacing w:after="0" w:line="240" w:lineRule="auto"/>
        <w:contextualSpacing/>
        <w:rPr>
          <w:rFonts w:ascii="Helvetica" w:eastAsia="Helvetica Neue" w:hAnsi="Helvetica" w:cs="Helvetica Neue"/>
          <w:sz w:val="20"/>
        </w:rPr>
      </w:pPr>
      <w:r w:rsidRPr="000B15F2">
        <w:rPr>
          <w:rFonts w:ascii="Helvetica" w:eastAsia="Helvetica Neue" w:hAnsi="Helvetica" w:cs="Helvetica Neue"/>
          <w:color w:val="333333"/>
          <w:sz w:val="20"/>
        </w:rPr>
        <w:t>·         Tips on Saving</w:t>
      </w:r>
    </w:p>
    <w:p w14:paraId="43BDFA91" w14:textId="77777777" w:rsidR="008B0308" w:rsidRDefault="000B15F2">
      <w:pPr>
        <w:pStyle w:val="Normal1"/>
        <w:spacing w:after="0" w:line="240" w:lineRule="auto"/>
        <w:contextualSpacing/>
        <w:rPr>
          <w:rFonts w:ascii="Helvetica" w:eastAsia="Helvetica Neue" w:hAnsi="Helvetica" w:cs="Helvetica Neue"/>
          <w:sz w:val="20"/>
        </w:rPr>
      </w:pPr>
      <w:r w:rsidRPr="000B15F2">
        <w:rPr>
          <w:rFonts w:ascii="Helvetica" w:eastAsia="Helvetica Neue" w:hAnsi="Helvetica" w:cs="Helvetica Neue"/>
          <w:color w:val="333333"/>
          <w:sz w:val="20"/>
        </w:rPr>
        <w:t>·         How to get your first home </w:t>
      </w:r>
    </w:p>
    <w:p w14:paraId="6A426F21" w14:textId="77777777" w:rsidR="008B0308" w:rsidRDefault="000B15F2">
      <w:pPr>
        <w:pStyle w:val="Normal1"/>
        <w:spacing w:after="0" w:line="240" w:lineRule="auto"/>
        <w:contextualSpacing/>
        <w:rPr>
          <w:rFonts w:ascii="Helvetica" w:eastAsia="Helvetica Neue" w:hAnsi="Helvetica" w:cs="Helvetica Neue"/>
          <w:sz w:val="20"/>
        </w:rPr>
      </w:pPr>
      <w:r w:rsidRPr="000B15F2">
        <w:rPr>
          <w:rFonts w:ascii="Helvetica" w:eastAsia="Helvetica Neue" w:hAnsi="Helvetica" w:cs="Helvetica Neue"/>
          <w:color w:val="333333"/>
          <w:sz w:val="20"/>
        </w:rPr>
        <w:t>·         What the country should do to solve this problem and its historical context</w:t>
      </w:r>
    </w:p>
    <w:p w14:paraId="11AE38C1" w14:textId="77777777" w:rsidR="008B0308" w:rsidRDefault="000B15F2">
      <w:pPr>
        <w:pStyle w:val="Normal1"/>
        <w:spacing w:after="0" w:line="240" w:lineRule="auto"/>
        <w:contextualSpacing/>
        <w:rPr>
          <w:rFonts w:ascii="Helvetica" w:eastAsia="Helvetica Neue" w:hAnsi="Helvetica" w:cs="Helvetica Neue"/>
          <w:color w:val="333333"/>
          <w:sz w:val="20"/>
        </w:rPr>
      </w:pPr>
      <w:r w:rsidRPr="000B15F2">
        <w:rPr>
          <w:rFonts w:ascii="Helvetica" w:eastAsia="Helvetica Neue" w:hAnsi="Helvetica" w:cs="Helvetica Neue"/>
          <w:color w:val="333333"/>
          <w:sz w:val="20"/>
        </w:rPr>
        <w:t>·         Provide case studies</w:t>
      </w:r>
    </w:p>
    <w:p w14:paraId="63C40FF0" w14:textId="77777777" w:rsidR="008B0308" w:rsidRDefault="008B0308">
      <w:pPr>
        <w:pStyle w:val="Normal1"/>
        <w:spacing w:after="0" w:line="240" w:lineRule="auto"/>
        <w:contextualSpacing/>
        <w:rPr>
          <w:rFonts w:ascii="Helvetica" w:eastAsia="Helvetica Neue" w:hAnsi="Helvetica" w:cs="Helvetica Neue"/>
          <w:sz w:val="20"/>
        </w:rPr>
      </w:pPr>
    </w:p>
    <w:p w14:paraId="73A4637E" w14:textId="77777777" w:rsidR="00E963DB" w:rsidRDefault="000B15F2" w:rsidP="00652E97">
      <w:pPr>
        <w:pStyle w:val="Normal1"/>
        <w:rPr>
          <w:rFonts w:ascii="Helvetica" w:eastAsia="Helvetica Neue" w:hAnsi="Helvetica" w:cs="Helvetica Neue"/>
          <w:color w:val="333333"/>
          <w:sz w:val="20"/>
        </w:rPr>
      </w:pPr>
      <w:r w:rsidRPr="000B15F2">
        <w:rPr>
          <w:rFonts w:ascii="Helvetica" w:eastAsia="Helvetica Neue" w:hAnsi="Helvetica" w:cs="Helvetica Neue"/>
          <w:color w:val="333333"/>
          <w:sz w:val="20"/>
        </w:rPr>
        <w:t>Robert holds a Degree with Majors in Economics and Political Science and a Diploma of Financial Planning. Robert is also recognised as an SMSF Specialist Advisor</w:t>
      </w:r>
      <w:r w:rsidRPr="000B15F2">
        <w:rPr>
          <w:rFonts w:ascii="Helvetica" w:eastAsia="Helvetica Neue" w:hAnsi="Helvetica" w:cs="Helvetica Neue"/>
          <w:color w:val="333333"/>
          <w:sz w:val="20"/>
          <w:vertAlign w:val="superscript"/>
        </w:rPr>
        <w:t>TM</w:t>
      </w:r>
      <w:r w:rsidRPr="000B15F2">
        <w:rPr>
          <w:rFonts w:ascii="Helvetica" w:eastAsia="Helvetica Neue" w:hAnsi="Helvetica" w:cs="Helvetica Neue"/>
          <w:color w:val="333333"/>
          <w:sz w:val="20"/>
        </w:rPr>
        <w:t xml:space="preserve"> and a Certified Financial Planner</w:t>
      </w:r>
      <w:r w:rsidRPr="000B15F2">
        <w:rPr>
          <w:rFonts w:ascii="Helvetica" w:eastAsia="Helvetica Neue" w:hAnsi="Helvetica" w:cs="Helvetica Neue"/>
          <w:color w:val="333333"/>
          <w:sz w:val="20"/>
          <w:vertAlign w:val="superscript"/>
        </w:rPr>
        <w:t>®</w:t>
      </w:r>
      <w:r w:rsidRPr="000B15F2">
        <w:rPr>
          <w:rFonts w:ascii="Helvetica" w:eastAsia="Helvetica Neue" w:hAnsi="Helvetica" w:cs="Helvetica Neue"/>
          <w:color w:val="333333"/>
          <w:sz w:val="20"/>
        </w:rPr>
        <w:t>. Unlike other advisors, Robert has been a fee-for-service advice provider for more than 29 years. Robert Snell is an Authorised Representative and Life Values is a Corporate Authorised Representative of Financial Services Partners Pty Ltd AFSL 237 590 ABN 15 089 512 587. </w:t>
      </w:r>
    </w:p>
    <w:p w14:paraId="0489DBE7" w14:textId="77777777" w:rsidR="00652E97" w:rsidRPr="00CF68ED" w:rsidRDefault="000B15F2" w:rsidP="00652E97">
      <w:pPr>
        <w:pStyle w:val="Normal1"/>
        <w:rPr>
          <w:rFonts w:ascii="Helvetica" w:eastAsia="Helvetica Neue" w:hAnsi="Helvetica" w:cs="Helvetica Neue"/>
          <w:sz w:val="20"/>
        </w:rPr>
      </w:pPr>
      <w:r w:rsidRPr="000B15F2">
        <w:rPr>
          <w:rFonts w:ascii="Helvetica" w:eastAsia="Times New Roman" w:hAnsi="Helvetica" w:cs="Arial"/>
          <w:sz w:val="20"/>
          <w:szCs w:val="24"/>
          <w:lang w:val="en-US"/>
        </w:rPr>
        <w:t>The views expressed in this publication are solely those of the author; they are not reflective or indicative of the licensee’s position and are not to be attributed to the licensee (name of the licensee). They cannot be reproduced in any form without the express written consent of the author</w:t>
      </w:r>
      <w:r w:rsidR="000020EA">
        <w:rPr>
          <w:rFonts w:ascii="Helvetica" w:eastAsia="Times New Roman" w:hAnsi="Helvetica" w:cs="Arial"/>
          <w:sz w:val="20"/>
          <w:szCs w:val="24"/>
          <w:lang w:val="en-US"/>
        </w:rPr>
        <w:t>.</w:t>
      </w:r>
    </w:p>
    <w:p w14:paraId="37C5DB99" w14:textId="77777777" w:rsidR="00652E97" w:rsidRPr="00CF68ED" w:rsidRDefault="000B15F2" w:rsidP="00652E97">
      <w:pPr>
        <w:pStyle w:val="Normal1"/>
        <w:rPr>
          <w:rFonts w:ascii="Helvetica" w:eastAsia="Helvetica Neue" w:hAnsi="Helvetica" w:cs="Helvetica Neue"/>
          <w:b/>
          <w:sz w:val="20"/>
        </w:rPr>
      </w:pPr>
      <w:r w:rsidRPr="000B15F2">
        <w:rPr>
          <w:rFonts w:ascii="Helvetica" w:eastAsia="Helvetica Neue" w:hAnsi="Helvetica" w:cs="Helvetica Neue"/>
          <w:b/>
          <w:sz w:val="20"/>
        </w:rPr>
        <w:t>Tax Advice Warning</w:t>
      </w:r>
    </w:p>
    <w:p w14:paraId="3C865CA4" w14:textId="77777777" w:rsidR="00652E97" w:rsidRPr="00CF68ED" w:rsidRDefault="000B15F2" w:rsidP="00652E97">
      <w:pPr>
        <w:pStyle w:val="Normal1"/>
        <w:spacing w:before="240" w:after="40"/>
        <w:jc w:val="both"/>
        <w:rPr>
          <w:rFonts w:ascii="Helvetica" w:eastAsia="Arial" w:hAnsi="Helvetica" w:cs="Arial"/>
          <w:sz w:val="20"/>
        </w:rPr>
      </w:pPr>
      <w:r w:rsidRPr="000B15F2">
        <w:rPr>
          <w:rFonts w:ascii="Helvetica" w:eastAsia="Arial" w:hAnsi="Helvetica" w:cs="Arial"/>
          <w:sz w:val="20"/>
        </w:rPr>
        <w:lastRenderedPageBreak/>
        <w:t>This information (including taxation) is general in nature and does not consider your individual circumstances or needs. Do not act until you seek professional advice and consider a Product Disclosure Statement.</w:t>
      </w:r>
    </w:p>
    <w:p w14:paraId="099CD42D" w14:textId="77777777" w:rsidR="00CF68ED" w:rsidRDefault="00CF68ED">
      <w:pPr>
        <w:rPr>
          <w:rFonts w:ascii="Helvetica" w:hAnsi="Helvetica"/>
          <w:sz w:val="20"/>
          <w:szCs w:val="20"/>
          <w:u w:val="single"/>
        </w:rPr>
      </w:pPr>
      <w:bookmarkStart w:id="1" w:name="_gjdgxs" w:colFirst="0" w:colLast="0"/>
      <w:bookmarkEnd w:id="1"/>
      <w:r>
        <w:rPr>
          <w:rFonts w:ascii="Helvetica" w:hAnsi="Helvetica"/>
          <w:sz w:val="20"/>
          <w:szCs w:val="20"/>
          <w:u w:val="single"/>
        </w:rPr>
        <w:br w:type="page"/>
      </w:r>
    </w:p>
    <w:p w14:paraId="60847898" w14:textId="77777777" w:rsidR="00652E97" w:rsidRPr="000035FA" w:rsidRDefault="00652E97" w:rsidP="00652E97">
      <w:pPr>
        <w:rPr>
          <w:rFonts w:ascii="Helvetica" w:hAnsi="Helvetica"/>
          <w:sz w:val="20"/>
          <w:szCs w:val="20"/>
          <w:u w:val="single"/>
        </w:rPr>
      </w:pPr>
      <w:r w:rsidRPr="000035FA">
        <w:rPr>
          <w:rFonts w:ascii="Helvetica" w:hAnsi="Helvetica"/>
          <w:sz w:val="20"/>
          <w:szCs w:val="20"/>
          <w:u w:val="single"/>
        </w:rPr>
        <w:lastRenderedPageBreak/>
        <w:t>Rental property increases, 2011 to 2016</w:t>
      </w:r>
    </w:p>
    <w:tbl>
      <w:tblPr>
        <w:tblW w:w="83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715"/>
        <w:gridCol w:w="1715"/>
        <w:gridCol w:w="1346"/>
        <w:gridCol w:w="1795"/>
      </w:tblGrid>
      <w:tr w:rsidR="00652E97" w:rsidRPr="000035FA" w14:paraId="5D1CBF91" w14:textId="77777777" w:rsidTr="00953887">
        <w:trPr>
          <w:trHeight w:val="185"/>
        </w:trPr>
        <w:tc>
          <w:tcPr>
            <w:tcW w:w="0" w:type="auto"/>
            <w:shd w:val="clear" w:color="auto" w:fill="auto"/>
            <w:vAlign w:val="center"/>
            <w:hideMark/>
          </w:tcPr>
          <w:p w14:paraId="55134C8A" w14:textId="77777777" w:rsidR="00652E97" w:rsidRPr="000035FA" w:rsidRDefault="00BA687D" w:rsidP="00953887">
            <w:pPr>
              <w:spacing w:after="0" w:line="240" w:lineRule="auto"/>
              <w:rPr>
                <w:rFonts w:ascii="Helvetica" w:eastAsia="Times New Roman" w:hAnsi="Helvetica" w:cs="Times New Roman"/>
                <w:b/>
                <w:sz w:val="20"/>
                <w:szCs w:val="20"/>
                <w:lang w:eastAsia="en-AU"/>
              </w:rPr>
            </w:pPr>
            <w:hyperlink r:id="rId11" w:history="1">
              <w:r w:rsidR="00652E97" w:rsidRPr="000035FA">
                <w:rPr>
                  <w:rFonts w:ascii="Helvetica" w:eastAsia="Times New Roman" w:hAnsi="Helvetica" w:cs="Times New Roman"/>
                  <w:b/>
                  <w:sz w:val="20"/>
                  <w:szCs w:val="20"/>
                  <w:lang w:eastAsia="en-AU"/>
                </w:rPr>
                <w:t>State</w:t>
              </w:r>
            </w:hyperlink>
            <w:r w:rsidR="00652E97" w:rsidRPr="000035FA">
              <w:rPr>
                <w:rFonts w:ascii="Helvetica" w:eastAsia="Times New Roman" w:hAnsi="Helvetica" w:cs="Times New Roman"/>
                <w:b/>
                <w:sz w:val="20"/>
                <w:szCs w:val="20"/>
                <w:lang w:eastAsia="en-AU"/>
              </w:rPr>
              <w:t xml:space="preserve"> or Territory</w:t>
            </w:r>
          </w:p>
        </w:tc>
        <w:tc>
          <w:tcPr>
            <w:tcW w:w="0" w:type="auto"/>
            <w:shd w:val="clear" w:color="auto" w:fill="auto"/>
            <w:vAlign w:val="center"/>
            <w:hideMark/>
          </w:tcPr>
          <w:p w14:paraId="606C247F" w14:textId="77777777" w:rsidR="00652E97" w:rsidRPr="000035FA" w:rsidRDefault="00652E97" w:rsidP="00953887">
            <w:pPr>
              <w:spacing w:after="0" w:line="240" w:lineRule="auto"/>
              <w:jc w:val="center"/>
              <w:rPr>
                <w:rFonts w:ascii="Helvetica" w:eastAsia="Times New Roman" w:hAnsi="Helvetica" w:cs="Times New Roman"/>
                <w:b/>
                <w:color w:val="000000"/>
                <w:sz w:val="20"/>
                <w:szCs w:val="20"/>
                <w:lang w:eastAsia="en-AU"/>
              </w:rPr>
            </w:pPr>
            <w:r w:rsidRPr="000035FA">
              <w:rPr>
                <w:rFonts w:ascii="Helvetica" w:eastAsia="Times New Roman" w:hAnsi="Helvetica" w:cs="Times New Roman"/>
                <w:b/>
                <w:color w:val="000000"/>
                <w:sz w:val="20"/>
                <w:szCs w:val="20"/>
                <w:lang w:eastAsia="en-AU"/>
              </w:rPr>
              <w:t>Rented Properties 2011</w:t>
            </w:r>
          </w:p>
        </w:tc>
        <w:tc>
          <w:tcPr>
            <w:tcW w:w="0" w:type="auto"/>
            <w:shd w:val="clear" w:color="auto" w:fill="auto"/>
            <w:vAlign w:val="center"/>
            <w:hideMark/>
          </w:tcPr>
          <w:p w14:paraId="2FC0F83A" w14:textId="77777777" w:rsidR="00652E97" w:rsidRPr="000035FA" w:rsidRDefault="00652E97" w:rsidP="00953887">
            <w:pPr>
              <w:spacing w:after="0" w:line="240" w:lineRule="auto"/>
              <w:jc w:val="center"/>
              <w:rPr>
                <w:rFonts w:ascii="Helvetica" w:eastAsia="Times New Roman" w:hAnsi="Helvetica" w:cs="Times New Roman"/>
                <w:b/>
                <w:color w:val="000000"/>
                <w:sz w:val="20"/>
                <w:szCs w:val="20"/>
                <w:lang w:eastAsia="en-AU"/>
              </w:rPr>
            </w:pPr>
            <w:r w:rsidRPr="000035FA">
              <w:rPr>
                <w:rFonts w:ascii="Helvetica" w:eastAsia="Times New Roman" w:hAnsi="Helvetica" w:cs="Times New Roman"/>
                <w:b/>
                <w:color w:val="000000"/>
                <w:sz w:val="20"/>
                <w:szCs w:val="20"/>
                <w:lang w:eastAsia="en-AU"/>
              </w:rPr>
              <w:t>Rented Properties 2016</w:t>
            </w:r>
          </w:p>
        </w:tc>
        <w:tc>
          <w:tcPr>
            <w:tcW w:w="0" w:type="auto"/>
            <w:vAlign w:val="center"/>
          </w:tcPr>
          <w:p w14:paraId="18FF859D" w14:textId="77777777" w:rsidR="00652E97" w:rsidRPr="000035FA" w:rsidRDefault="00652E97" w:rsidP="00953887">
            <w:pPr>
              <w:spacing w:after="0" w:line="240" w:lineRule="auto"/>
              <w:jc w:val="center"/>
              <w:rPr>
                <w:rFonts w:ascii="Helvetica" w:eastAsia="Times New Roman" w:hAnsi="Helvetica" w:cs="Times New Roman"/>
                <w:b/>
                <w:color w:val="000000"/>
                <w:sz w:val="20"/>
                <w:szCs w:val="20"/>
                <w:lang w:eastAsia="en-AU"/>
              </w:rPr>
            </w:pPr>
            <w:r w:rsidRPr="000035FA">
              <w:rPr>
                <w:rFonts w:ascii="Helvetica" w:eastAsia="Times New Roman" w:hAnsi="Helvetica" w:cs="Times New Roman"/>
                <w:b/>
                <w:color w:val="000000"/>
                <w:sz w:val="20"/>
                <w:szCs w:val="20"/>
                <w:lang w:eastAsia="en-AU"/>
              </w:rPr>
              <w:t>Increase (Count)</w:t>
            </w:r>
          </w:p>
        </w:tc>
        <w:tc>
          <w:tcPr>
            <w:tcW w:w="0" w:type="auto"/>
            <w:vAlign w:val="center"/>
          </w:tcPr>
          <w:p w14:paraId="1DB5A8E3" w14:textId="77777777" w:rsidR="00652E97" w:rsidRPr="000035FA" w:rsidRDefault="00652E97" w:rsidP="00953887">
            <w:pPr>
              <w:spacing w:after="0" w:line="240" w:lineRule="auto"/>
              <w:jc w:val="center"/>
              <w:rPr>
                <w:rFonts w:ascii="Helvetica" w:eastAsia="Times New Roman" w:hAnsi="Helvetica" w:cs="Times New Roman"/>
                <w:b/>
                <w:color w:val="000000"/>
                <w:sz w:val="20"/>
                <w:szCs w:val="20"/>
                <w:lang w:eastAsia="en-AU"/>
              </w:rPr>
            </w:pPr>
            <w:r w:rsidRPr="000035FA">
              <w:rPr>
                <w:rFonts w:ascii="Helvetica" w:eastAsia="Times New Roman" w:hAnsi="Helvetica" w:cs="Times New Roman"/>
                <w:b/>
                <w:color w:val="000000"/>
                <w:sz w:val="20"/>
                <w:szCs w:val="20"/>
                <w:lang w:eastAsia="en-AU"/>
              </w:rPr>
              <w:t>Increase (Percentage)</w:t>
            </w:r>
          </w:p>
        </w:tc>
      </w:tr>
      <w:tr w:rsidR="00652E97" w:rsidRPr="000035FA" w14:paraId="6AA93FE6" w14:textId="77777777" w:rsidTr="00953887">
        <w:trPr>
          <w:trHeight w:val="185"/>
        </w:trPr>
        <w:tc>
          <w:tcPr>
            <w:tcW w:w="0" w:type="auto"/>
            <w:shd w:val="clear" w:color="auto" w:fill="auto"/>
            <w:vAlign w:val="center"/>
            <w:hideMark/>
          </w:tcPr>
          <w:p w14:paraId="32EDF2DF" w14:textId="77777777" w:rsidR="00652E97" w:rsidRPr="000035FA" w:rsidRDefault="00652E97" w:rsidP="00953887">
            <w:pPr>
              <w:spacing w:after="0" w:line="240" w:lineRule="auto"/>
              <w:rPr>
                <w:rFonts w:ascii="Helvetica" w:eastAsia="Times New Roman" w:hAnsi="Helvetica" w:cs="Times New Roman"/>
                <w:sz w:val="20"/>
                <w:szCs w:val="20"/>
                <w:lang w:eastAsia="en-AU"/>
              </w:rPr>
            </w:pPr>
            <w:r w:rsidRPr="000035FA">
              <w:rPr>
                <w:rFonts w:ascii="Helvetica" w:eastAsia="Times New Roman" w:hAnsi="Helvetica" w:cs="Times New Roman"/>
                <w:sz w:val="20"/>
                <w:szCs w:val="20"/>
                <w:lang w:eastAsia="en-AU"/>
              </w:rPr>
              <w:t>Victoria</w:t>
            </w:r>
          </w:p>
        </w:tc>
        <w:tc>
          <w:tcPr>
            <w:tcW w:w="0" w:type="auto"/>
            <w:shd w:val="clear" w:color="auto" w:fill="auto"/>
            <w:vAlign w:val="center"/>
            <w:hideMark/>
          </w:tcPr>
          <w:p w14:paraId="6D8B1CA4"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506,297</w:t>
            </w:r>
          </w:p>
        </w:tc>
        <w:tc>
          <w:tcPr>
            <w:tcW w:w="0" w:type="auto"/>
            <w:shd w:val="clear" w:color="auto" w:fill="auto"/>
            <w:vAlign w:val="center"/>
            <w:hideMark/>
          </w:tcPr>
          <w:p w14:paraId="0CD6B24C"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597,848</w:t>
            </w:r>
          </w:p>
        </w:tc>
        <w:tc>
          <w:tcPr>
            <w:tcW w:w="0" w:type="auto"/>
            <w:vAlign w:val="center"/>
          </w:tcPr>
          <w:p w14:paraId="2382C4AF"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91,551</w:t>
            </w:r>
          </w:p>
        </w:tc>
        <w:tc>
          <w:tcPr>
            <w:tcW w:w="0" w:type="auto"/>
            <w:vAlign w:val="center"/>
          </w:tcPr>
          <w:p w14:paraId="6AC03474"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18%</w:t>
            </w:r>
          </w:p>
        </w:tc>
      </w:tr>
      <w:tr w:rsidR="00652E97" w:rsidRPr="000035FA" w14:paraId="758E29C1" w14:textId="77777777" w:rsidTr="00953887">
        <w:trPr>
          <w:trHeight w:val="185"/>
        </w:trPr>
        <w:tc>
          <w:tcPr>
            <w:tcW w:w="0" w:type="auto"/>
            <w:shd w:val="clear" w:color="auto" w:fill="auto"/>
            <w:vAlign w:val="center"/>
            <w:hideMark/>
          </w:tcPr>
          <w:p w14:paraId="7A053AC2"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2" w:history="1">
              <w:r w:rsidR="00652E97" w:rsidRPr="000035FA">
                <w:rPr>
                  <w:rFonts w:ascii="Helvetica" w:eastAsia="Times New Roman" w:hAnsi="Helvetica" w:cs="Times New Roman"/>
                  <w:sz w:val="20"/>
                  <w:szCs w:val="20"/>
                  <w:lang w:eastAsia="en-AU"/>
                </w:rPr>
                <w:t>New South Wales</w:t>
              </w:r>
            </w:hyperlink>
          </w:p>
        </w:tc>
        <w:tc>
          <w:tcPr>
            <w:tcW w:w="0" w:type="auto"/>
            <w:shd w:val="clear" w:color="auto" w:fill="auto"/>
            <w:vAlign w:val="center"/>
            <w:hideMark/>
          </w:tcPr>
          <w:p w14:paraId="35AC2D5F"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731,207</w:t>
            </w:r>
          </w:p>
        </w:tc>
        <w:tc>
          <w:tcPr>
            <w:tcW w:w="0" w:type="auto"/>
            <w:shd w:val="clear" w:color="auto" w:fill="auto"/>
            <w:vAlign w:val="center"/>
            <w:hideMark/>
          </w:tcPr>
          <w:p w14:paraId="295569F5"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814,549</w:t>
            </w:r>
          </w:p>
        </w:tc>
        <w:tc>
          <w:tcPr>
            <w:tcW w:w="0" w:type="auto"/>
            <w:vAlign w:val="center"/>
          </w:tcPr>
          <w:p w14:paraId="4CCEAAAE"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83,342</w:t>
            </w:r>
          </w:p>
        </w:tc>
        <w:tc>
          <w:tcPr>
            <w:tcW w:w="0" w:type="auto"/>
            <w:vAlign w:val="center"/>
          </w:tcPr>
          <w:p w14:paraId="2F76A469"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11%</w:t>
            </w:r>
          </w:p>
        </w:tc>
      </w:tr>
      <w:tr w:rsidR="00652E97" w:rsidRPr="000035FA" w14:paraId="5E2078C2" w14:textId="77777777" w:rsidTr="00953887">
        <w:trPr>
          <w:trHeight w:val="185"/>
        </w:trPr>
        <w:tc>
          <w:tcPr>
            <w:tcW w:w="0" w:type="auto"/>
            <w:shd w:val="clear" w:color="auto" w:fill="auto"/>
            <w:vAlign w:val="center"/>
            <w:hideMark/>
          </w:tcPr>
          <w:p w14:paraId="69E4DA9B"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3" w:history="1">
              <w:r w:rsidR="00652E97" w:rsidRPr="000035FA">
                <w:rPr>
                  <w:rFonts w:ascii="Helvetica" w:eastAsia="Times New Roman" w:hAnsi="Helvetica" w:cs="Times New Roman"/>
                  <w:sz w:val="20"/>
                  <w:szCs w:val="20"/>
                  <w:lang w:eastAsia="en-AU"/>
                </w:rPr>
                <w:t>Queensland</w:t>
              </w:r>
            </w:hyperlink>
          </w:p>
        </w:tc>
        <w:tc>
          <w:tcPr>
            <w:tcW w:w="0" w:type="auto"/>
            <w:shd w:val="clear" w:color="auto" w:fill="auto"/>
            <w:vAlign w:val="center"/>
            <w:hideMark/>
          </w:tcPr>
          <w:p w14:paraId="0BA35224"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508,569</w:t>
            </w:r>
          </w:p>
        </w:tc>
        <w:tc>
          <w:tcPr>
            <w:tcW w:w="0" w:type="auto"/>
            <w:shd w:val="clear" w:color="auto" w:fill="auto"/>
            <w:vAlign w:val="center"/>
            <w:hideMark/>
          </w:tcPr>
          <w:p w14:paraId="1392DCCA"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560,272</w:t>
            </w:r>
          </w:p>
        </w:tc>
        <w:tc>
          <w:tcPr>
            <w:tcW w:w="0" w:type="auto"/>
            <w:vAlign w:val="center"/>
          </w:tcPr>
          <w:p w14:paraId="042CDD38"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51,703</w:t>
            </w:r>
          </w:p>
        </w:tc>
        <w:tc>
          <w:tcPr>
            <w:tcW w:w="0" w:type="auto"/>
            <w:vAlign w:val="center"/>
          </w:tcPr>
          <w:p w14:paraId="482F6AC9"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10%</w:t>
            </w:r>
          </w:p>
        </w:tc>
      </w:tr>
      <w:tr w:rsidR="00652E97" w:rsidRPr="000035FA" w14:paraId="6ED8C367" w14:textId="77777777" w:rsidTr="00953887">
        <w:trPr>
          <w:trHeight w:val="185"/>
        </w:trPr>
        <w:tc>
          <w:tcPr>
            <w:tcW w:w="0" w:type="auto"/>
            <w:shd w:val="clear" w:color="auto" w:fill="auto"/>
            <w:vAlign w:val="center"/>
            <w:hideMark/>
          </w:tcPr>
          <w:p w14:paraId="1EC59F38"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4" w:history="1">
              <w:r w:rsidR="00652E97" w:rsidRPr="000035FA">
                <w:rPr>
                  <w:rFonts w:ascii="Helvetica" w:eastAsia="Times New Roman" w:hAnsi="Helvetica" w:cs="Times New Roman"/>
                  <w:sz w:val="20"/>
                  <w:szCs w:val="20"/>
                  <w:lang w:eastAsia="en-AU"/>
                </w:rPr>
                <w:t>Western Australia</w:t>
              </w:r>
            </w:hyperlink>
          </w:p>
        </w:tc>
        <w:tc>
          <w:tcPr>
            <w:tcW w:w="0" w:type="auto"/>
            <w:shd w:val="clear" w:color="auto" w:fill="auto"/>
            <w:vAlign w:val="center"/>
            <w:hideMark/>
          </w:tcPr>
          <w:p w14:paraId="1E79DAAC"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226,959</w:t>
            </w:r>
          </w:p>
        </w:tc>
        <w:tc>
          <w:tcPr>
            <w:tcW w:w="0" w:type="auto"/>
            <w:shd w:val="clear" w:color="auto" w:fill="auto"/>
            <w:vAlign w:val="center"/>
            <w:hideMark/>
          </w:tcPr>
          <w:p w14:paraId="43C6BC38"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240,450</w:t>
            </w:r>
          </w:p>
        </w:tc>
        <w:tc>
          <w:tcPr>
            <w:tcW w:w="0" w:type="auto"/>
            <w:vAlign w:val="center"/>
          </w:tcPr>
          <w:p w14:paraId="3A2F91FA"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13,491</w:t>
            </w:r>
          </w:p>
        </w:tc>
        <w:tc>
          <w:tcPr>
            <w:tcW w:w="0" w:type="auto"/>
            <w:vAlign w:val="center"/>
          </w:tcPr>
          <w:p w14:paraId="4DFFF14C"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6%</w:t>
            </w:r>
          </w:p>
        </w:tc>
      </w:tr>
      <w:tr w:rsidR="00652E97" w:rsidRPr="000035FA" w14:paraId="439CAEF5" w14:textId="77777777" w:rsidTr="00953887">
        <w:trPr>
          <w:trHeight w:val="185"/>
        </w:trPr>
        <w:tc>
          <w:tcPr>
            <w:tcW w:w="0" w:type="auto"/>
            <w:shd w:val="clear" w:color="auto" w:fill="auto"/>
            <w:vAlign w:val="center"/>
            <w:hideMark/>
          </w:tcPr>
          <w:p w14:paraId="0CCD3B9C"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5" w:history="1">
              <w:r w:rsidR="00652E97" w:rsidRPr="000035FA">
                <w:rPr>
                  <w:rFonts w:ascii="Helvetica" w:eastAsia="Times New Roman" w:hAnsi="Helvetica" w:cs="Times New Roman"/>
                  <w:sz w:val="20"/>
                  <w:szCs w:val="20"/>
                  <w:lang w:eastAsia="en-AU"/>
                </w:rPr>
                <w:t>Australian Capital Territory</w:t>
              </w:r>
            </w:hyperlink>
          </w:p>
        </w:tc>
        <w:tc>
          <w:tcPr>
            <w:tcW w:w="0" w:type="auto"/>
            <w:shd w:val="clear" w:color="auto" w:fill="auto"/>
            <w:vAlign w:val="center"/>
            <w:hideMark/>
          </w:tcPr>
          <w:p w14:paraId="38748672"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39,704</w:t>
            </w:r>
          </w:p>
        </w:tc>
        <w:tc>
          <w:tcPr>
            <w:tcW w:w="0" w:type="auto"/>
            <w:shd w:val="clear" w:color="auto" w:fill="auto"/>
            <w:vAlign w:val="center"/>
            <w:hideMark/>
          </w:tcPr>
          <w:p w14:paraId="695694C9"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45,320</w:t>
            </w:r>
          </w:p>
        </w:tc>
        <w:tc>
          <w:tcPr>
            <w:tcW w:w="0" w:type="auto"/>
            <w:vAlign w:val="center"/>
          </w:tcPr>
          <w:p w14:paraId="3996C6E6"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5,616</w:t>
            </w:r>
          </w:p>
        </w:tc>
        <w:tc>
          <w:tcPr>
            <w:tcW w:w="0" w:type="auto"/>
            <w:vAlign w:val="center"/>
          </w:tcPr>
          <w:p w14:paraId="68594443"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14%</w:t>
            </w:r>
          </w:p>
        </w:tc>
      </w:tr>
      <w:tr w:rsidR="00652E97" w:rsidRPr="000035FA" w14:paraId="53E30DA8" w14:textId="77777777" w:rsidTr="00953887">
        <w:trPr>
          <w:trHeight w:val="185"/>
        </w:trPr>
        <w:tc>
          <w:tcPr>
            <w:tcW w:w="0" w:type="auto"/>
            <w:shd w:val="clear" w:color="auto" w:fill="auto"/>
            <w:vAlign w:val="center"/>
            <w:hideMark/>
          </w:tcPr>
          <w:p w14:paraId="6CF0C711"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6" w:history="1">
              <w:r w:rsidR="00652E97" w:rsidRPr="000035FA">
                <w:rPr>
                  <w:rFonts w:ascii="Helvetica" w:eastAsia="Times New Roman" w:hAnsi="Helvetica" w:cs="Times New Roman"/>
                  <w:sz w:val="20"/>
                  <w:szCs w:val="20"/>
                  <w:lang w:eastAsia="en-AU"/>
                </w:rPr>
                <w:t>South Australia</w:t>
              </w:r>
            </w:hyperlink>
          </w:p>
        </w:tc>
        <w:tc>
          <w:tcPr>
            <w:tcW w:w="0" w:type="auto"/>
            <w:shd w:val="clear" w:color="auto" w:fill="auto"/>
            <w:vAlign w:val="center"/>
            <w:hideMark/>
          </w:tcPr>
          <w:p w14:paraId="6C11BDC0"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169,678</w:t>
            </w:r>
          </w:p>
        </w:tc>
        <w:tc>
          <w:tcPr>
            <w:tcW w:w="0" w:type="auto"/>
            <w:shd w:val="clear" w:color="auto" w:fill="auto"/>
            <w:vAlign w:val="center"/>
            <w:hideMark/>
          </w:tcPr>
          <w:p w14:paraId="7FA96236"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179,508</w:t>
            </w:r>
          </w:p>
        </w:tc>
        <w:tc>
          <w:tcPr>
            <w:tcW w:w="0" w:type="auto"/>
            <w:vAlign w:val="center"/>
          </w:tcPr>
          <w:p w14:paraId="2029AE60"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9,830</w:t>
            </w:r>
          </w:p>
        </w:tc>
        <w:tc>
          <w:tcPr>
            <w:tcW w:w="0" w:type="auto"/>
            <w:vAlign w:val="center"/>
          </w:tcPr>
          <w:p w14:paraId="7A135CFB"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6%</w:t>
            </w:r>
          </w:p>
        </w:tc>
      </w:tr>
      <w:tr w:rsidR="00652E97" w:rsidRPr="000035FA" w14:paraId="00AD2BB9" w14:textId="77777777" w:rsidTr="00953887">
        <w:trPr>
          <w:trHeight w:val="185"/>
        </w:trPr>
        <w:tc>
          <w:tcPr>
            <w:tcW w:w="0" w:type="auto"/>
            <w:shd w:val="clear" w:color="auto" w:fill="auto"/>
            <w:vAlign w:val="center"/>
            <w:hideMark/>
          </w:tcPr>
          <w:p w14:paraId="488FC544"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7" w:history="1">
              <w:r w:rsidR="00652E97" w:rsidRPr="000035FA">
                <w:rPr>
                  <w:rFonts w:ascii="Helvetica" w:eastAsia="Times New Roman" w:hAnsi="Helvetica" w:cs="Times New Roman"/>
                  <w:sz w:val="20"/>
                  <w:szCs w:val="20"/>
                  <w:lang w:eastAsia="en-AU"/>
                </w:rPr>
                <w:t>Northern Territory</w:t>
              </w:r>
            </w:hyperlink>
          </w:p>
        </w:tc>
        <w:tc>
          <w:tcPr>
            <w:tcW w:w="0" w:type="auto"/>
            <w:shd w:val="clear" w:color="auto" w:fill="auto"/>
            <w:vAlign w:val="center"/>
            <w:hideMark/>
          </w:tcPr>
          <w:p w14:paraId="4E8F965F"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28,835</w:t>
            </w:r>
          </w:p>
        </w:tc>
        <w:tc>
          <w:tcPr>
            <w:tcW w:w="0" w:type="auto"/>
            <w:shd w:val="clear" w:color="auto" w:fill="auto"/>
            <w:vAlign w:val="center"/>
            <w:hideMark/>
          </w:tcPr>
          <w:p w14:paraId="75889E17"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31,652</w:t>
            </w:r>
          </w:p>
        </w:tc>
        <w:tc>
          <w:tcPr>
            <w:tcW w:w="0" w:type="auto"/>
            <w:vAlign w:val="center"/>
          </w:tcPr>
          <w:p w14:paraId="1525C18F"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2,817</w:t>
            </w:r>
          </w:p>
        </w:tc>
        <w:tc>
          <w:tcPr>
            <w:tcW w:w="0" w:type="auto"/>
            <w:vAlign w:val="center"/>
          </w:tcPr>
          <w:p w14:paraId="647F3F52"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10%</w:t>
            </w:r>
          </w:p>
        </w:tc>
      </w:tr>
      <w:tr w:rsidR="00652E97" w:rsidRPr="000035FA" w14:paraId="6C8BC062" w14:textId="77777777" w:rsidTr="00953887">
        <w:trPr>
          <w:trHeight w:val="185"/>
        </w:trPr>
        <w:tc>
          <w:tcPr>
            <w:tcW w:w="0" w:type="auto"/>
            <w:shd w:val="clear" w:color="auto" w:fill="auto"/>
            <w:vAlign w:val="center"/>
            <w:hideMark/>
          </w:tcPr>
          <w:p w14:paraId="0E730026" w14:textId="77777777" w:rsidR="00652E97" w:rsidRPr="000035FA" w:rsidRDefault="00BA687D" w:rsidP="00953887">
            <w:pPr>
              <w:spacing w:after="0" w:line="240" w:lineRule="auto"/>
              <w:rPr>
                <w:rFonts w:ascii="Helvetica" w:eastAsia="Times New Roman" w:hAnsi="Helvetica" w:cs="Times New Roman"/>
                <w:sz w:val="20"/>
                <w:szCs w:val="20"/>
                <w:lang w:eastAsia="en-AU"/>
              </w:rPr>
            </w:pPr>
            <w:hyperlink r:id="rId18" w:history="1">
              <w:r w:rsidR="00652E97" w:rsidRPr="000035FA">
                <w:rPr>
                  <w:rFonts w:ascii="Helvetica" w:eastAsia="Times New Roman" w:hAnsi="Helvetica" w:cs="Times New Roman"/>
                  <w:sz w:val="20"/>
                  <w:szCs w:val="20"/>
                  <w:lang w:eastAsia="en-AU"/>
                </w:rPr>
                <w:t>Tasmania</w:t>
              </w:r>
            </w:hyperlink>
          </w:p>
        </w:tc>
        <w:tc>
          <w:tcPr>
            <w:tcW w:w="0" w:type="auto"/>
            <w:shd w:val="clear" w:color="auto" w:fill="auto"/>
            <w:vAlign w:val="center"/>
            <w:hideMark/>
          </w:tcPr>
          <w:p w14:paraId="6CD95E29"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49,593</w:t>
            </w:r>
          </w:p>
        </w:tc>
        <w:tc>
          <w:tcPr>
            <w:tcW w:w="0" w:type="auto"/>
            <w:shd w:val="clear" w:color="auto" w:fill="auto"/>
            <w:vAlign w:val="center"/>
            <w:hideMark/>
          </w:tcPr>
          <w:p w14:paraId="69FE449D"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52,853</w:t>
            </w:r>
          </w:p>
        </w:tc>
        <w:tc>
          <w:tcPr>
            <w:tcW w:w="0" w:type="auto"/>
            <w:vAlign w:val="center"/>
          </w:tcPr>
          <w:p w14:paraId="5A9B2B0D"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3,260</w:t>
            </w:r>
          </w:p>
        </w:tc>
        <w:tc>
          <w:tcPr>
            <w:tcW w:w="0" w:type="auto"/>
            <w:vAlign w:val="center"/>
          </w:tcPr>
          <w:p w14:paraId="0DCF80C5"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7%</w:t>
            </w:r>
          </w:p>
        </w:tc>
      </w:tr>
      <w:tr w:rsidR="00652E97" w:rsidRPr="000035FA" w14:paraId="50799975" w14:textId="77777777" w:rsidTr="00953887">
        <w:trPr>
          <w:trHeight w:val="185"/>
        </w:trPr>
        <w:tc>
          <w:tcPr>
            <w:tcW w:w="0" w:type="auto"/>
            <w:shd w:val="clear" w:color="auto" w:fill="auto"/>
            <w:vAlign w:val="center"/>
            <w:hideMark/>
          </w:tcPr>
          <w:p w14:paraId="48605FFE" w14:textId="77777777" w:rsidR="00652E97" w:rsidRPr="000035FA" w:rsidRDefault="00652E97" w:rsidP="00953887">
            <w:pPr>
              <w:spacing w:after="0" w:line="240" w:lineRule="auto"/>
              <w:rPr>
                <w:rFonts w:ascii="Helvetica" w:eastAsia="Times New Roman" w:hAnsi="Helvetica" w:cs="Times New Roman"/>
                <w:sz w:val="20"/>
                <w:szCs w:val="20"/>
                <w:lang w:eastAsia="en-AU"/>
              </w:rPr>
            </w:pPr>
            <w:r w:rsidRPr="000035FA">
              <w:rPr>
                <w:rFonts w:ascii="Helvetica" w:eastAsia="Times New Roman" w:hAnsi="Helvetica" w:cs="Times New Roman"/>
                <w:sz w:val="20"/>
                <w:szCs w:val="20"/>
                <w:lang w:eastAsia="en-AU"/>
              </w:rPr>
              <w:t>Other Territories</w:t>
            </w:r>
          </w:p>
        </w:tc>
        <w:tc>
          <w:tcPr>
            <w:tcW w:w="0" w:type="auto"/>
            <w:shd w:val="clear" w:color="auto" w:fill="auto"/>
            <w:vAlign w:val="center"/>
            <w:hideMark/>
          </w:tcPr>
          <w:p w14:paraId="344F7ECC"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387</w:t>
            </w:r>
          </w:p>
        </w:tc>
        <w:tc>
          <w:tcPr>
            <w:tcW w:w="0" w:type="auto"/>
            <w:shd w:val="clear" w:color="auto" w:fill="auto"/>
            <w:vAlign w:val="center"/>
            <w:hideMark/>
          </w:tcPr>
          <w:p w14:paraId="68C024AF"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515</w:t>
            </w:r>
          </w:p>
        </w:tc>
        <w:tc>
          <w:tcPr>
            <w:tcW w:w="0" w:type="auto"/>
            <w:vAlign w:val="center"/>
          </w:tcPr>
          <w:p w14:paraId="2E4C3FD7"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128</w:t>
            </w:r>
          </w:p>
        </w:tc>
        <w:tc>
          <w:tcPr>
            <w:tcW w:w="0" w:type="auto"/>
            <w:vAlign w:val="center"/>
          </w:tcPr>
          <w:p w14:paraId="3E39F505"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33%</w:t>
            </w:r>
          </w:p>
        </w:tc>
      </w:tr>
      <w:tr w:rsidR="00652E97" w:rsidRPr="000035FA" w14:paraId="5D57A02E" w14:textId="77777777" w:rsidTr="00953887">
        <w:trPr>
          <w:trHeight w:val="73"/>
        </w:trPr>
        <w:tc>
          <w:tcPr>
            <w:tcW w:w="0" w:type="auto"/>
            <w:shd w:val="clear" w:color="auto" w:fill="auto"/>
            <w:vAlign w:val="center"/>
            <w:hideMark/>
          </w:tcPr>
          <w:p w14:paraId="6400F2C5" w14:textId="77777777" w:rsidR="00652E97" w:rsidRPr="000035FA" w:rsidRDefault="00652E97" w:rsidP="00953887">
            <w:pPr>
              <w:spacing w:after="0" w:line="240" w:lineRule="auto"/>
              <w:rPr>
                <w:rFonts w:ascii="Helvetica" w:eastAsia="Times New Roman" w:hAnsi="Helvetica" w:cs="Times New Roman"/>
                <w:sz w:val="20"/>
                <w:szCs w:val="20"/>
                <w:lang w:eastAsia="en-AU"/>
              </w:rPr>
            </w:pPr>
            <w:r w:rsidRPr="000035FA">
              <w:rPr>
                <w:rFonts w:ascii="Helvetica" w:eastAsia="Times New Roman" w:hAnsi="Helvetica" w:cs="Times New Roman"/>
                <w:sz w:val="20"/>
                <w:szCs w:val="20"/>
                <w:lang w:eastAsia="en-AU"/>
              </w:rPr>
              <w:t>TOTAL</w:t>
            </w:r>
          </w:p>
        </w:tc>
        <w:tc>
          <w:tcPr>
            <w:tcW w:w="0" w:type="auto"/>
            <w:shd w:val="clear" w:color="auto" w:fill="auto"/>
            <w:vAlign w:val="center"/>
            <w:hideMark/>
          </w:tcPr>
          <w:p w14:paraId="136E6488"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2,261,231</w:t>
            </w:r>
          </w:p>
        </w:tc>
        <w:tc>
          <w:tcPr>
            <w:tcW w:w="0" w:type="auto"/>
            <w:shd w:val="clear" w:color="auto" w:fill="auto"/>
            <w:vAlign w:val="center"/>
            <w:hideMark/>
          </w:tcPr>
          <w:p w14:paraId="0D137DA4"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2,522,971</w:t>
            </w:r>
          </w:p>
        </w:tc>
        <w:tc>
          <w:tcPr>
            <w:tcW w:w="0" w:type="auto"/>
            <w:vAlign w:val="center"/>
          </w:tcPr>
          <w:p w14:paraId="3FC7B3F3"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261,740</w:t>
            </w:r>
          </w:p>
        </w:tc>
        <w:tc>
          <w:tcPr>
            <w:tcW w:w="0" w:type="auto"/>
            <w:vAlign w:val="center"/>
          </w:tcPr>
          <w:p w14:paraId="6B4F5408" w14:textId="77777777" w:rsidR="00652E97" w:rsidRPr="000035FA" w:rsidRDefault="00652E97" w:rsidP="00953887">
            <w:pPr>
              <w:spacing w:after="0" w:line="240" w:lineRule="auto"/>
              <w:jc w:val="center"/>
              <w:rPr>
                <w:rFonts w:ascii="Helvetica" w:eastAsia="Times New Roman" w:hAnsi="Helvetica" w:cs="Times New Roman"/>
                <w:color w:val="000000"/>
                <w:sz w:val="20"/>
                <w:szCs w:val="20"/>
                <w:lang w:eastAsia="en-AU"/>
              </w:rPr>
            </w:pPr>
            <w:r w:rsidRPr="000035FA">
              <w:rPr>
                <w:rFonts w:ascii="Helvetica" w:eastAsia="Times New Roman" w:hAnsi="Helvetica" w:cs="Times New Roman"/>
                <w:color w:val="000000"/>
                <w:sz w:val="20"/>
                <w:szCs w:val="20"/>
                <w:lang w:eastAsia="en-AU"/>
              </w:rPr>
              <w:t>12%</w:t>
            </w:r>
          </w:p>
        </w:tc>
      </w:tr>
    </w:tbl>
    <w:p w14:paraId="05A8E67F" w14:textId="77777777" w:rsidR="000621A8" w:rsidRPr="000621A8" w:rsidRDefault="000B15F2" w:rsidP="000621A8">
      <w:pPr>
        <w:rPr>
          <w:rFonts w:ascii="Helvetica" w:hAnsi="Helvetica"/>
          <w:i/>
          <w:sz w:val="16"/>
        </w:rPr>
      </w:pPr>
      <w:r w:rsidRPr="000B15F2">
        <w:rPr>
          <w:rFonts w:ascii="Helvetica" w:hAnsi="Helvetica"/>
          <w:i/>
          <w:sz w:val="16"/>
        </w:rPr>
        <w:t>Source: ABS, 2011 and 2016 Census Data.</w:t>
      </w:r>
    </w:p>
    <w:p w14:paraId="3B9F4B30" w14:textId="77777777" w:rsidR="00652E97" w:rsidRPr="000035FA" w:rsidRDefault="00652E97">
      <w:pPr>
        <w:rPr>
          <w:rFonts w:ascii="Helvetica" w:hAnsi="Helvetica"/>
          <w:sz w:val="20"/>
          <w:szCs w:val="20"/>
          <w:u w:val="single"/>
        </w:rPr>
      </w:pPr>
      <w:r w:rsidRPr="000035FA">
        <w:rPr>
          <w:rFonts w:ascii="Helvetica" w:hAnsi="Helvetica"/>
          <w:sz w:val="20"/>
          <w:szCs w:val="20"/>
          <w:u w:val="single"/>
        </w:rPr>
        <w:t>Rental property householders in Australia 2011 to 2016</w:t>
      </w:r>
    </w:p>
    <w:tbl>
      <w:tblPr>
        <w:tblStyle w:val="TableGrid"/>
        <w:tblW w:w="0" w:type="auto"/>
        <w:tblLook w:val="04A0" w:firstRow="1" w:lastRow="0" w:firstColumn="1" w:lastColumn="0" w:noHBand="0" w:noVBand="1"/>
      </w:tblPr>
      <w:tblGrid>
        <w:gridCol w:w="2235"/>
        <w:gridCol w:w="1275"/>
        <w:gridCol w:w="1307"/>
        <w:gridCol w:w="1670"/>
      </w:tblGrid>
      <w:tr w:rsidR="00652E97" w:rsidRPr="000035FA" w14:paraId="5FFBE463" w14:textId="77777777" w:rsidTr="00953887">
        <w:trPr>
          <w:trHeight w:val="708"/>
        </w:trPr>
        <w:tc>
          <w:tcPr>
            <w:tcW w:w="2235" w:type="dxa"/>
          </w:tcPr>
          <w:p w14:paraId="69143AFD" w14:textId="77777777" w:rsidR="00652E97" w:rsidRPr="000035FA" w:rsidRDefault="00652E97" w:rsidP="00953887">
            <w:pPr>
              <w:rPr>
                <w:rFonts w:ascii="Helvetica" w:hAnsi="Helvetica"/>
                <w:b/>
                <w:sz w:val="20"/>
                <w:szCs w:val="20"/>
              </w:rPr>
            </w:pPr>
            <w:r w:rsidRPr="000035FA">
              <w:rPr>
                <w:rFonts w:ascii="Helvetica" w:hAnsi="Helvetica"/>
                <w:b/>
                <w:sz w:val="20"/>
                <w:szCs w:val="20"/>
              </w:rPr>
              <w:t>Number of persons with rented households in Australia</w:t>
            </w:r>
          </w:p>
        </w:tc>
        <w:tc>
          <w:tcPr>
            <w:tcW w:w="1275" w:type="dxa"/>
          </w:tcPr>
          <w:p w14:paraId="4827F1D9" w14:textId="77777777" w:rsidR="00652E97" w:rsidRPr="000035FA" w:rsidRDefault="00652E97" w:rsidP="00953887">
            <w:pPr>
              <w:jc w:val="center"/>
              <w:rPr>
                <w:rFonts w:ascii="Helvetica" w:hAnsi="Helvetica"/>
                <w:b/>
                <w:sz w:val="20"/>
                <w:szCs w:val="20"/>
              </w:rPr>
            </w:pPr>
            <w:r w:rsidRPr="000035FA">
              <w:rPr>
                <w:rFonts w:ascii="Helvetica" w:hAnsi="Helvetica"/>
                <w:b/>
                <w:sz w:val="20"/>
                <w:szCs w:val="20"/>
              </w:rPr>
              <w:t>2011</w:t>
            </w:r>
          </w:p>
        </w:tc>
        <w:tc>
          <w:tcPr>
            <w:tcW w:w="1307" w:type="dxa"/>
          </w:tcPr>
          <w:p w14:paraId="3F75E7ED" w14:textId="77777777" w:rsidR="00652E97" w:rsidRPr="000035FA" w:rsidRDefault="00652E97" w:rsidP="00953887">
            <w:pPr>
              <w:jc w:val="center"/>
              <w:rPr>
                <w:rFonts w:ascii="Helvetica" w:hAnsi="Helvetica"/>
                <w:b/>
                <w:sz w:val="20"/>
                <w:szCs w:val="20"/>
              </w:rPr>
            </w:pPr>
            <w:r w:rsidRPr="000035FA">
              <w:rPr>
                <w:rFonts w:ascii="Helvetica" w:hAnsi="Helvetica"/>
                <w:b/>
                <w:sz w:val="20"/>
                <w:szCs w:val="20"/>
              </w:rPr>
              <w:t>2016</w:t>
            </w:r>
          </w:p>
        </w:tc>
        <w:tc>
          <w:tcPr>
            <w:tcW w:w="1670" w:type="dxa"/>
          </w:tcPr>
          <w:p w14:paraId="294F3DA0" w14:textId="77777777" w:rsidR="00652E97" w:rsidRPr="000035FA" w:rsidRDefault="00652E97" w:rsidP="00953887">
            <w:pPr>
              <w:jc w:val="center"/>
              <w:rPr>
                <w:rFonts w:ascii="Helvetica" w:hAnsi="Helvetica"/>
                <w:b/>
                <w:sz w:val="20"/>
                <w:szCs w:val="20"/>
              </w:rPr>
            </w:pPr>
            <w:r w:rsidRPr="000035FA">
              <w:rPr>
                <w:rFonts w:ascii="Helvetica" w:hAnsi="Helvetica"/>
                <w:b/>
                <w:sz w:val="20"/>
                <w:szCs w:val="20"/>
              </w:rPr>
              <w:t>Percentage increase</w:t>
            </w:r>
          </w:p>
        </w:tc>
      </w:tr>
      <w:tr w:rsidR="00652E97" w:rsidRPr="000035FA" w14:paraId="2B46DBFA" w14:textId="77777777" w:rsidTr="00953887">
        <w:trPr>
          <w:trHeight w:val="233"/>
        </w:trPr>
        <w:tc>
          <w:tcPr>
            <w:tcW w:w="2235" w:type="dxa"/>
          </w:tcPr>
          <w:p w14:paraId="5D758BD2" w14:textId="77777777" w:rsidR="00652E97" w:rsidRPr="000035FA" w:rsidRDefault="00652E97" w:rsidP="00953887">
            <w:pPr>
              <w:rPr>
                <w:rFonts w:ascii="Helvetica" w:hAnsi="Helvetica"/>
                <w:sz w:val="20"/>
                <w:szCs w:val="20"/>
              </w:rPr>
            </w:pPr>
            <w:r w:rsidRPr="000035FA">
              <w:rPr>
                <w:rFonts w:ascii="Helvetica" w:hAnsi="Helvetica"/>
                <w:sz w:val="20"/>
                <w:szCs w:val="20"/>
              </w:rPr>
              <w:t>One Person</w:t>
            </w:r>
          </w:p>
        </w:tc>
        <w:tc>
          <w:tcPr>
            <w:tcW w:w="1275" w:type="dxa"/>
          </w:tcPr>
          <w:p w14:paraId="0181D9AD"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644,733</w:t>
            </w:r>
          </w:p>
        </w:tc>
        <w:tc>
          <w:tcPr>
            <w:tcW w:w="1307" w:type="dxa"/>
          </w:tcPr>
          <w:p w14:paraId="6D8861EA"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692,930</w:t>
            </w:r>
          </w:p>
        </w:tc>
        <w:tc>
          <w:tcPr>
            <w:tcW w:w="1670" w:type="dxa"/>
          </w:tcPr>
          <w:p w14:paraId="24214453"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7.5%</w:t>
            </w:r>
          </w:p>
        </w:tc>
      </w:tr>
      <w:tr w:rsidR="00652E97" w:rsidRPr="000035FA" w14:paraId="4BE4F9A1" w14:textId="77777777" w:rsidTr="00953887">
        <w:trPr>
          <w:trHeight w:val="243"/>
        </w:trPr>
        <w:tc>
          <w:tcPr>
            <w:tcW w:w="2235" w:type="dxa"/>
          </w:tcPr>
          <w:p w14:paraId="5871C5A8" w14:textId="77777777" w:rsidR="00652E97" w:rsidRPr="000035FA" w:rsidRDefault="00652E97" w:rsidP="00953887">
            <w:pPr>
              <w:rPr>
                <w:rFonts w:ascii="Helvetica" w:hAnsi="Helvetica"/>
                <w:sz w:val="20"/>
                <w:szCs w:val="20"/>
              </w:rPr>
            </w:pPr>
            <w:r w:rsidRPr="000035FA">
              <w:rPr>
                <w:rFonts w:ascii="Helvetica" w:hAnsi="Helvetica"/>
                <w:sz w:val="20"/>
                <w:szCs w:val="20"/>
              </w:rPr>
              <w:t>Two Persons</w:t>
            </w:r>
          </w:p>
        </w:tc>
        <w:tc>
          <w:tcPr>
            <w:tcW w:w="1275" w:type="dxa"/>
          </w:tcPr>
          <w:p w14:paraId="1FB8B4F2"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694,559</w:t>
            </w:r>
          </w:p>
        </w:tc>
        <w:tc>
          <w:tcPr>
            <w:tcW w:w="1307" w:type="dxa"/>
          </w:tcPr>
          <w:p w14:paraId="0C026582"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771,727</w:t>
            </w:r>
          </w:p>
        </w:tc>
        <w:tc>
          <w:tcPr>
            <w:tcW w:w="1670" w:type="dxa"/>
          </w:tcPr>
          <w:p w14:paraId="52FCEB8A"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11.1%</w:t>
            </w:r>
          </w:p>
        </w:tc>
      </w:tr>
      <w:tr w:rsidR="00652E97" w:rsidRPr="000035FA" w14:paraId="5B99B93A" w14:textId="77777777" w:rsidTr="00953887">
        <w:trPr>
          <w:trHeight w:val="233"/>
        </w:trPr>
        <w:tc>
          <w:tcPr>
            <w:tcW w:w="2235" w:type="dxa"/>
          </w:tcPr>
          <w:p w14:paraId="2A496FEE" w14:textId="77777777" w:rsidR="00652E97" w:rsidRPr="000035FA" w:rsidRDefault="00652E97" w:rsidP="00953887">
            <w:pPr>
              <w:rPr>
                <w:rFonts w:ascii="Helvetica" w:hAnsi="Helvetica"/>
                <w:sz w:val="20"/>
                <w:szCs w:val="20"/>
              </w:rPr>
            </w:pPr>
            <w:r w:rsidRPr="000035FA">
              <w:rPr>
                <w:rFonts w:ascii="Helvetica" w:hAnsi="Helvetica"/>
                <w:sz w:val="20"/>
                <w:szCs w:val="20"/>
              </w:rPr>
              <w:t>Three Persons</w:t>
            </w:r>
          </w:p>
        </w:tc>
        <w:tc>
          <w:tcPr>
            <w:tcW w:w="1275" w:type="dxa"/>
          </w:tcPr>
          <w:p w14:paraId="5E57BA27"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382,832</w:t>
            </w:r>
          </w:p>
        </w:tc>
        <w:tc>
          <w:tcPr>
            <w:tcW w:w="1307" w:type="dxa"/>
          </w:tcPr>
          <w:p w14:paraId="668D48F3"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438,637</w:t>
            </w:r>
          </w:p>
        </w:tc>
        <w:tc>
          <w:tcPr>
            <w:tcW w:w="1670" w:type="dxa"/>
          </w:tcPr>
          <w:p w14:paraId="553489DD"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14.6%</w:t>
            </w:r>
          </w:p>
        </w:tc>
      </w:tr>
      <w:tr w:rsidR="00652E97" w:rsidRPr="000035FA" w14:paraId="088DF493" w14:textId="77777777" w:rsidTr="00953887">
        <w:trPr>
          <w:trHeight w:val="233"/>
        </w:trPr>
        <w:tc>
          <w:tcPr>
            <w:tcW w:w="2235" w:type="dxa"/>
          </w:tcPr>
          <w:p w14:paraId="3363CD06" w14:textId="77777777" w:rsidR="00652E97" w:rsidRPr="000035FA" w:rsidRDefault="00652E97" w:rsidP="00953887">
            <w:pPr>
              <w:rPr>
                <w:rFonts w:ascii="Helvetica" w:hAnsi="Helvetica"/>
                <w:sz w:val="20"/>
                <w:szCs w:val="20"/>
              </w:rPr>
            </w:pPr>
            <w:r w:rsidRPr="000035FA">
              <w:rPr>
                <w:rFonts w:ascii="Helvetica" w:hAnsi="Helvetica"/>
                <w:sz w:val="20"/>
                <w:szCs w:val="20"/>
              </w:rPr>
              <w:t>Four Persons</w:t>
            </w:r>
          </w:p>
        </w:tc>
        <w:tc>
          <w:tcPr>
            <w:tcW w:w="1275" w:type="dxa"/>
          </w:tcPr>
          <w:p w14:paraId="16BD28B0"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281,267</w:t>
            </w:r>
          </w:p>
        </w:tc>
        <w:tc>
          <w:tcPr>
            <w:tcW w:w="1307" w:type="dxa"/>
          </w:tcPr>
          <w:p w14:paraId="71CEA2AE"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331,036</w:t>
            </w:r>
          </w:p>
        </w:tc>
        <w:tc>
          <w:tcPr>
            <w:tcW w:w="1670" w:type="dxa"/>
          </w:tcPr>
          <w:p w14:paraId="1F43D6A3"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17.7%</w:t>
            </w:r>
          </w:p>
        </w:tc>
      </w:tr>
      <w:tr w:rsidR="00652E97" w:rsidRPr="000035FA" w14:paraId="5A2F6B9F" w14:textId="77777777" w:rsidTr="00953887">
        <w:trPr>
          <w:trHeight w:val="233"/>
        </w:trPr>
        <w:tc>
          <w:tcPr>
            <w:tcW w:w="2235" w:type="dxa"/>
          </w:tcPr>
          <w:p w14:paraId="48EC5836" w14:textId="77777777" w:rsidR="00652E97" w:rsidRPr="000035FA" w:rsidRDefault="00652E97" w:rsidP="00953887">
            <w:pPr>
              <w:rPr>
                <w:rFonts w:ascii="Helvetica" w:hAnsi="Helvetica"/>
                <w:sz w:val="20"/>
                <w:szCs w:val="20"/>
              </w:rPr>
            </w:pPr>
            <w:r w:rsidRPr="000035FA">
              <w:rPr>
                <w:rFonts w:ascii="Helvetica" w:hAnsi="Helvetica"/>
                <w:sz w:val="20"/>
                <w:szCs w:val="20"/>
              </w:rPr>
              <w:t>Five Persons</w:t>
            </w:r>
          </w:p>
        </w:tc>
        <w:tc>
          <w:tcPr>
            <w:tcW w:w="1275" w:type="dxa"/>
          </w:tcPr>
          <w:p w14:paraId="2E00DAEC"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127,948</w:t>
            </w:r>
          </w:p>
        </w:tc>
        <w:tc>
          <w:tcPr>
            <w:tcW w:w="1307" w:type="dxa"/>
          </w:tcPr>
          <w:p w14:paraId="71DB5843"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148,842</w:t>
            </w:r>
          </w:p>
        </w:tc>
        <w:tc>
          <w:tcPr>
            <w:tcW w:w="1670" w:type="dxa"/>
          </w:tcPr>
          <w:p w14:paraId="06D5FBF4"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16.3%</w:t>
            </w:r>
          </w:p>
        </w:tc>
      </w:tr>
      <w:tr w:rsidR="00652E97" w:rsidRPr="000035FA" w14:paraId="48456D22" w14:textId="77777777" w:rsidTr="00953887">
        <w:trPr>
          <w:trHeight w:val="233"/>
        </w:trPr>
        <w:tc>
          <w:tcPr>
            <w:tcW w:w="2235" w:type="dxa"/>
          </w:tcPr>
          <w:p w14:paraId="6840A480" w14:textId="77777777" w:rsidR="00652E97" w:rsidRPr="000035FA" w:rsidRDefault="00652E97" w:rsidP="00953887">
            <w:pPr>
              <w:rPr>
                <w:rFonts w:ascii="Helvetica" w:hAnsi="Helvetica"/>
                <w:sz w:val="20"/>
                <w:szCs w:val="20"/>
              </w:rPr>
            </w:pPr>
            <w:r w:rsidRPr="000035FA">
              <w:rPr>
                <w:rFonts w:ascii="Helvetica" w:hAnsi="Helvetica"/>
                <w:sz w:val="20"/>
                <w:szCs w:val="20"/>
              </w:rPr>
              <w:t>Six Persons</w:t>
            </w:r>
          </w:p>
        </w:tc>
        <w:tc>
          <w:tcPr>
            <w:tcW w:w="1275" w:type="dxa"/>
          </w:tcPr>
          <w:p w14:paraId="12F3B85E"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54,308</w:t>
            </w:r>
          </w:p>
        </w:tc>
        <w:tc>
          <w:tcPr>
            <w:tcW w:w="1307" w:type="dxa"/>
          </w:tcPr>
          <w:p w14:paraId="2AF496E9"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63,495</w:t>
            </w:r>
          </w:p>
        </w:tc>
        <w:tc>
          <w:tcPr>
            <w:tcW w:w="1670" w:type="dxa"/>
          </w:tcPr>
          <w:p w14:paraId="044E3B4B"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16.9%</w:t>
            </w:r>
          </w:p>
        </w:tc>
      </w:tr>
      <w:tr w:rsidR="00652E97" w:rsidRPr="000035FA" w14:paraId="60231765" w14:textId="77777777" w:rsidTr="00953887">
        <w:trPr>
          <w:trHeight w:val="243"/>
        </w:trPr>
        <w:tc>
          <w:tcPr>
            <w:tcW w:w="2235" w:type="dxa"/>
          </w:tcPr>
          <w:p w14:paraId="2A7896BB" w14:textId="77777777" w:rsidR="00652E97" w:rsidRPr="000035FA" w:rsidRDefault="00652E97" w:rsidP="00953887">
            <w:pPr>
              <w:rPr>
                <w:rFonts w:ascii="Helvetica" w:hAnsi="Helvetica"/>
                <w:sz w:val="20"/>
                <w:szCs w:val="20"/>
              </w:rPr>
            </w:pPr>
            <w:r w:rsidRPr="000035FA">
              <w:rPr>
                <w:rFonts w:ascii="Helvetica" w:hAnsi="Helvetica"/>
                <w:sz w:val="20"/>
                <w:szCs w:val="20"/>
              </w:rPr>
              <w:t>Seven Persons</w:t>
            </w:r>
          </w:p>
        </w:tc>
        <w:tc>
          <w:tcPr>
            <w:tcW w:w="1275" w:type="dxa"/>
          </w:tcPr>
          <w:p w14:paraId="6F3B548E"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16,145</w:t>
            </w:r>
          </w:p>
        </w:tc>
        <w:tc>
          <w:tcPr>
            <w:tcW w:w="1307" w:type="dxa"/>
          </w:tcPr>
          <w:p w14:paraId="5227B682"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19,802</w:t>
            </w:r>
          </w:p>
        </w:tc>
        <w:tc>
          <w:tcPr>
            <w:tcW w:w="1670" w:type="dxa"/>
          </w:tcPr>
          <w:p w14:paraId="58917ADB"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22.7%</w:t>
            </w:r>
          </w:p>
        </w:tc>
      </w:tr>
      <w:tr w:rsidR="00652E97" w:rsidRPr="000035FA" w14:paraId="53C824F8" w14:textId="77777777" w:rsidTr="00953887">
        <w:trPr>
          <w:trHeight w:val="127"/>
        </w:trPr>
        <w:tc>
          <w:tcPr>
            <w:tcW w:w="2235" w:type="dxa"/>
          </w:tcPr>
          <w:p w14:paraId="3D4576DA" w14:textId="77777777" w:rsidR="00652E97" w:rsidRPr="000035FA" w:rsidRDefault="00652E97" w:rsidP="00953887">
            <w:pPr>
              <w:rPr>
                <w:rFonts w:ascii="Helvetica" w:hAnsi="Helvetica"/>
                <w:sz w:val="20"/>
                <w:szCs w:val="20"/>
              </w:rPr>
            </w:pPr>
            <w:r w:rsidRPr="000035FA">
              <w:rPr>
                <w:rFonts w:ascii="Helvetica" w:hAnsi="Helvetica"/>
                <w:sz w:val="20"/>
                <w:szCs w:val="20"/>
              </w:rPr>
              <w:t>Eight or more Persons</w:t>
            </w:r>
          </w:p>
        </w:tc>
        <w:tc>
          <w:tcPr>
            <w:tcW w:w="1275" w:type="dxa"/>
          </w:tcPr>
          <w:p w14:paraId="2CED5805"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13,543</w:t>
            </w:r>
          </w:p>
        </w:tc>
        <w:tc>
          <w:tcPr>
            <w:tcW w:w="1307" w:type="dxa"/>
          </w:tcPr>
          <w:p w14:paraId="285694F4"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16,077</w:t>
            </w:r>
          </w:p>
        </w:tc>
        <w:tc>
          <w:tcPr>
            <w:tcW w:w="1670" w:type="dxa"/>
          </w:tcPr>
          <w:p w14:paraId="1C9D2604" w14:textId="77777777" w:rsidR="00652E97" w:rsidRPr="000035FA" w:rsidRDefault="00652E97" w:rsidP="00953887">
            <w:pPr>
              <w:jc w:val="center"/>
              <w:rPr>
                <w:rFonts w:ascii="Helvetica" w:hAnsi="Helvetica"/>
                <w:sz w:val="20"/>
                <w:szCs w:val="20"/>
              </w:rPr>
            </w:pPr>
            <w:r w:rsidRPr="000035FA">
              <w:rPr>
                <w:rFonts w:ascii="Helvetica" w:hAnsi="Helvetica"/>
                <w:sz w:val="20"/>
                <w:szCs w:val="20"/>
              </w:rPr>
              <w:t>18.7%</w:t>
            </w:r>
          </w:p>
        </w:tc>
      </w:tr>
    </w:tbl>
    <w:p w14:paraId="403F1CCE" w14:textId="77777777" w:rsidR="000621A8" w:rsidRPr="000621A8" w:rsidRDefault="000621A8" w:rsidP="000621A8">
      <w:pPr>
        <w:rPr>
          <w:rFonts w:ascii="Helvetica" w:hAnsi="Helvetica"/>
          <w:i/>
          <w:sz w:val="16"/>
        </w:rPr>
      </w:pPr>
      <w:r w:rsidRPr="000621A8">
        <w:rPr>
          <w:rFonts w:ascii="Helvetica" w:hAnsi="Helvetica"/>
          <w:i/>
          <w:sz w:val="16"/>
        </w:rPr>
        <w:t>Source: ABS, 2011 and 2016 Census Data.</w:t>
      </w:r>
    </w:p>
    <w:p w14:paraId="5040D517" w14:textId="77777777" w:rsidR="00652E97" w:rsidRPr="000035FA" w:rsidRDefault="00652E97">
      <w:pPr>
        <w:rPr>
          <w:rFonts w:ascii="Helvetica" w:hAnsi="Helvetica"/>
          <w:b/>
          <w:sz w:val="20"/>
          <w:szCs w:val="20"/>
          <w:u w:val="single"/>
        </w:rPr>
      </w:pPr>
      <w:r w:rsidRPr="000035FA">
        <w:rPr>
          <w:rFonts w:ascii="Helvetica" w:hAnsi="Helvetica" w:cs="Arial"/>
          <w:color w:val="000000"/>
          <w:sz w:val="20"/>
          <w:szCs w:val="20"/>
          <w:u w:val="single"/>
        </w:rPr>
        <w:t>Tenure and landlord type by dwelling structure</w:t>
      </w:r>
    </w:p>
    <w:tbl>
      <w:tblPr>
        <w:tblW w:w="92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106"/>
        <w:gridCol w:w="1150"/>
        <w:gridCol w:w="1106"/>
        <w:gridCol w:w="1016"/>
        <w:gridCol w:w="840"/>
        <w:gridCol w:w="1106"/>
      </w:tblGrid>
      <w:tr w:rsidR="00D56C20" w:rsidRPr="000035FA" w14:paraId="0702E31F" w14:textId="77777777" w:rsidTr="00D56C20">
        <w:trPr>
          <w:trHeight w:val="195"/>
        </w:trPr>
        <w:tc>
          <w:tcPr>
            <w:tcW w:w="3606" w:type="dxa"/>
            <w:shd w:val="clear" w:color="auto" w:fill="auto"/>
            <w:noWrap/>
            <w:vAlign w:val="center"/>
            <w:hideMark/>
          </w:tcPr>
          <w:p w14:paraId="623BAD6B" w14:textId="77777777" w:rsidR="00D56C20" w:rsidRPr="000035FA" w:rsidRDefault="00D56C20" w:rsidP="002C1CD6">
            <w:pPr>
              <w:spacing w:after="0" w:line="240" w:lineRule="auto"/>
              <w:rPr>
                <w:rFonts w:ascii="Helvetica" w:eastAsia="Times New Roman" w:hAnsi="Helvetica" w:cs="Arial"/>
                <w:color w:val="0000D4"/>
                <w:sz w:val="20"/>
                <w:szCs w:val="20"/>
                <w:u w:val="single"/>
              </w:rPr>
            </w:pPr>
          </w:p>
        </w:tc>
        <w:tc>
          <w:tcPr>
            <w:tcW w:w="928" w:type="dxa"/>
            <w:shd w:val="clear" w:color="auto" w:fill="auto"/>
            <w:noWrap/>
            <w:hideMark/>
          </w:tcPr>
          <w:p w14:paraId="2678C873" w14:textId="77777777" w:rsidR="00D56C20" w:rsidRPr="000035FA" w:rsidRDefault="00D56C20" w:rsidP="00D56C20">
            <w:pPr>
              <w:spacing w:after="0" w:line="240" w:lineRule="auto"/>
              <w:jc w:val="center"/>
              <w:rPr>
                <w:rFonts w:ascii="Helvetica" w:eastAsia="Times New Roman" w:hAnsi="Helvetica" w:cs="Arial"/>
                <w:b/>
                <w:sz w:val="20"/>
                <w:szCs w:val="20"/>
              </w:rPr>
            </w:pPr>
            <w:r w:rsidRPr="000035FA">
              <w:rPr>
                <w:rFonts w:ascii="Helvetica" w:eastAsia="Times New Roman" w:hAnsi="Helvetica" w:cs="Arial"/>
                <w:b/>
                <w:i/>
                <w:iCs/>
                <w:sz w:val="20"/>
                <w:szCs w:val="20"/>
              </w:rPr>
              <w:t>Separate house</w:t>
            </w:r>
          </w:p>
        </w:tc>
        <w:tc>
          <w:tcPr>
            <w:tcW w:w="1107" w:type="dxa"/>
            <w:shd w:val="clear" w:color="auto" w:fill="auto"/>
            <w:noWrap/>
            <w:hideMark/>
          </w:tcPr>
          <w:p w14:paraId="02AEB0CF" w14:textId="77777777" w:rsidR="00D56C20" w:rsidRPr="000035FA" w:rsidRDefault="00D56C20" w:rsidP="00D56C20">
            <w:pPr>
              <w:spacing w:after="0" w:line="240" w:lineRule="auto"/>
              <w:jc w:val="center"/>
              <w:rPr>
                <w:rFonts w:ascii="Helvetica" w:eastAsia="Times New Roman" w:hAnsi="Helvetica" w:cs="Arial"/>
                <w:b/>
                <w:i/>
                <w:iCs/>
                <w:sz w:val="20"/>
                <w:szCs w:val="20"/>
              </w:rPr>
            </w:pPr>
            <w:r w:rsidRPr="000035FA">
              <w:rPr>
                <w:rFonts w:ascii="Helvetica" w:eastAsia="Times New Roman" w:hAnsi="Helvetica" w:cs="Arial"/>
                <w:b/>
                <w:i/>
                <w:iCs/>
                <w:sz w:val="20"/>
                <w:szCs w:val="20"/>
              </w:rPr>
              <w:t>Semi-detached,</w:t>
            </w:r>
          </w:p>
        </w:tc>
        <w:tc>
          <w:tcPr>
            <w:tcW w:w="938" w:type="dxa"/>
            <w:shd w:val="clear" w:color="auto" w:fill="auto"/>
            <w:noWrap/>
            <w:hideMark/>
          </w:tcPr>
          <w:p w14:paraId="02C19E30" w14:textId="77777777" w:rsidR="00D56C20" w:rsidRPr="000035FA" w:rsidRDefault="00D56C20" w:rsidP="00D56C20">
            <w:pPr>
              <w:spacing w:after="0" w:line="240" w:lineRule="auto"/>
              <w:jc w:val="center"/>
              <w:rPr>
                <w:rFonts w:ascii="Helvetica" w:eastAsia="Times New Roman" w:hAnsi="Helvetica" w:cs="Arial"/>
                <w:b/>
                <w:sz w:val="20"/>
                <w:szCs w:val="20"/>
              </w:rPr>
            </w:pPr>
            <w:r w:rsidRPr="000035FA">
              <w:rPr>
                <w:rFonts w:ascii="Helvetica" w:eastAsia="Times New Roman" w:hAnsi="Helvetica" w:cs="Arial"/>
                <w:b/>
                <w:i/>
                <w:iCs/>
                <w:sz w:val="20"/>
                <w:szCs w:val="20"/>
              </w:rPr>
              <w:t>Flat</w:t>
            </w:r>
          </w:p>
        </w:tc>
        <w:tc>
          <w:tcPr>
            <w:tcW w:w="940" w:type="dxa"/>
            <w:shd w:val="clear" w:color="auto" w:fill="auto"/>
            <w:noWrap/>
            <w:hideMark/>
          </w:tcPr>
          <w:p w14:paraId="58DE58A0" w14:textId="77777777" w:rsidR="00D56C20" w:rsidRPr="000035FA" w:rsidRDefault="00D56C20" w:rsidP="00D56C20">
            <w:pPr>
              <w:spacing w:after="0" w:line="240" w:lineRule="auto"/>
              <w:jc w:val="center"/>
              <w:rPr>
                <w:rFonts w:ascii="Helvetica" w:eastAsia="Times New Roman" w:hAnsi="Helvetica" w:cs="Arial"/>
                <w:b/>
                <w:sz w:val="20"/>
                <w:szCs w:val="20"/>
              </w:rPr>
            </w:pPr>
            <w:r w:rsidRPr="000035FA">
              <w:rPr>
                <w:rFonts w:ascii="Helvetica" w:eastAsia="Times New Roman" w:hAnsi="Helvetica" w:cs="Arial"/>
                <w:b/>
                <w:i/>
                <w:iCs/>
                <w:sz w:val="20"/>
                <w:szCs w:val="20"/>
              </w:rPr>
              <w:t>Other dwelling</w:t>
            </w:r>
          </w:p>
        </w:tc>
        <w:tc>
          <w:tcPr>
            <w:tcW w:w="840" w:type="dxa"/>
            <w:shd w:val="clear" w:color="auto" w:fill="auto"/>
            <w:noWrap/>
            <w:hideMark/>
          </w:tcPr>
          <w:p w14:paraId="64FAE402" w14:textId="77777777" w:rsidR="00D56C20" w:rsidRPr="000035FA" w:rsidRDefault="00D56C20" w:rsidP="00D56C20">
            <w:pPr>
              <w:spacing w:after="0" w:line="240" w:lineRule="auto"/>
              <w:jc w:val="center"/>
              <w:rPr>
                <w:rFonts w:ascii="Helvetica" w:eastAsia="Times New Roman" w:hAnsi="Helvetica" w:cs="Arial"/>
                <w:b/>
                <w:sz w:val="20"/>
                <w:szCs w:val="20"/>
              </w:rPr>
            </w:pPr>
            <w:r w:rsidRPr="000035FA">
              <w:rPr>
                <w:rFonts w:ascii="Helvetica" w:eastAsia="Times New Roman" w:hAnsi="Helvetica" w:cs="Arial"/>
                <w:b/>
                <w:i/>
                <w:iCs/>
                <w:sz w:val="20"/>
                <w:szCs w:val="20"/>
              </w:rPr>
              <w:t>Not stated</w:t>
            </w:r>
          </w:p>
        </w:tc>
        <w:tc>
          <w:tcPr>
            <w:tcW w:w="928" w:type="dxa"/>
            <w:shd w:val="clear" w:color="auto" w:fill="auto"/>
            <w:noWrap/>
            <w:hideMark/>
          </w:tcPr>
          <w:p w14:paraId="080A1CE3" w14:textId="77777777" w:rsidR="00D56C20" w:rsidRPr="000035FA" w:rsidRDefault="00D56C20" w:rsidP="00D56C20">
            <w:pPr>
              <w:spacing w:after="0" w:line="240" w:lineRule="auto"/>
              <w:jc w:val="center"/>
              <w:rPr>
                <w:rFonts w:ascii="Helvetica" w:eastAsia="Times New Roman" w:hAnsi="Helvetica" w:cs="Arial"/>
                <w:b/>
                <w:sz w:val="20"/>
                <w:szCs w:val="20"/>
              </w:rPr>
            </w:pPr>
            <w:r w:rsidRPr="000035FA">
              <w:rPr>
                <w:rFonts w:ascii="Helvetica" w:eastAsia="Times New Roman" w:hAnsi="Helvetica" w:cs="Arial"/>
                <w:b/>
                <w:i/>
                <w:iCs/>
                <w:sz w:val="20"/>
                <w:szCs w:val="20"/>
              </w:rPr>
              <w:t>Total</w:t>
            </w:r>
          </w:p>
        </w:tc>
      </w:tr>
      <w:tr w:rsidR="00D56C20" w:rsidRPr="000035FA" w14:paraId="1D81A556" w14:textId="77777777" w:rsidTr="00D56C20">
        <w:trPr>
          <w:trHeight w:val="195"/>
        </w:trPr>
        <w:tc>
          <w:tcPr>
            <w:tcW w:w="3606" w:type="dxa"/>
            <w:shd w:val="clear" w:color="auto" w:fill="auto"/>
            <w:noWrap/>
            <w:vAlign w:val="bottom"/>
            <w:hideMark/>
          </w:tcPr>
          <w:p w14:paraId="14CFC7A6"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Owned outright</w:t>
            </w:r>
          </w:p>
        </w:tc>
        <w:tc>
          <w:tcPr>
            <w:tcW w:w="928" w:type="dxa"/>
            <w:shd w:val="clear" w:color="auto" w:fill="auto"/>
            <w:noWrap/>
            <w:vAlign w:val="center"/>
            <w:hideMark/>
          </w:tcPr>
          <w:p w14:paraId="022AE54E"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2,145,041</w:t>
            </w:r>
          </w:p>
        </w:tc>
        <w:tc>
          <w:tcPr>
            <w:tcW w:w="1107" w:type="dxa"/>
            <w:shd w:val="clear" w:color="auto" w:fill="auto"/>
            <w:noWrap/>
            <w:vAlign w:val="center"/>
            <w:hideMark/>
          </w:tcPr>
          <w:p w14:paraId="42AB8514"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233,400</w:t>
            </w:r>
          </w:p>
        </w:tc>
        <w:tc>
          <w:tcPr>
            <w:tcW w:w="938" w:type="dxa"/>
            <w:shd w:val="clear" w:color="auto" w:fill="auto"/>
            <w:noWrap/>
            <w:vAlign w:val="center"/>
            <w:hideMark/>
          </w:tcPr>
          <w:p w14:paraId="491D1C65"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151,346</w:t>
            </w:r>
          </w:p>
        </w:tc>
        <w:tc>
          <w:tcPr>
            <w:tcW w:w="940" w:type="dxa"/>
            <w:shd w:val="clear" w:color="auto" w:fill="auto"/>
            <w:noWrap/>
            <w:vAlign w:val="center"/>
            <w:hideMark/>
          </w:tcPr>
          <w:p w14:paraId="7CD72E2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28,076</w:t>
            </w:r>
          </w:p>
        </w:tc>
        <w:tc>
          <w:tcPr>
            <w:tcW w:w="840" w:type="dxa"/>
            <w:shd w:val="clear" w:color="auto" w:fill="auto"/>
            <w:noWrap/>
            <w:vAlign w:val="center"/>
            <w:hideMark/>
          </w:tcPr>
          <w:p w14:paraId="66125160"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7,834</w:t>
            </w:r>
          </w:p>
        </w:tc>
        <w:tc>
          <w:tcPr>
            <w:tcW w:w="928" w:type="dxa"/>
            <w:shd w:val="clear" w:color="auto" w:fill="auto"/>
            <w:noWrap/>
            <w:vAlign w:val="center"/>
            <w:hideMark/>
          </w:tcPr>
          <w:p w14:paraId="67C8CD87" w14:textId="77777777" w:rsidR="00D56C20" w:rsidRPr="000035FA" w:rsidRDefault="000B15F2" w:rsidP="002C1CD6">
            <w:pPr>
              <w:spacing w:after="0" w:line="240" w:lineRule="auto"/>
              <w:jc w:val="right"/>
              <w:rPr>
                <w:rFonts w:ascii="Helvetica" w:eastAsia="Times New Roman" w:hAnsi="Helvetica" w:cs="Arial"/>
                <w:sz w:val="20"/>
                <w:szCs w:val="20"/>
              </w:rPr>
            </w:pPr>
            <w:r w:rsidRPr="000B15F2">
              <w:rPr>
                <w:rFonts w:ascii="Helvetica" w:eastAsia="Times New Roman" w:hAnsi="Helvetica" w:cs="Arial"/>
                <w:sz w:val="20"/>
                <w:szCs w:val="20"/>
                <w:highlight w:val="yellow"/>
              </w:rPr>
              <w:t>2,565,695</w:t>
            </w:r>
          </w:p>
        </w:tc>
      </w:tr>
      <w:tr w:rsidR="00D56C20" w:rsidRPr="000035FA" w14:paraId="4762A647" w14:textId="77777777" w:rsidTr="00D56C20">
        <w:trPr>
          <w:trHeight w:val="195"/>
        </w:trPr>
        <w:tc>
          <w:tcPr>
            <w:tcW w:w="3606" w:type="dxa"/>
            <w:shd w:val="clear" w:color="auto" w:fill="auto"/>
            <w:noWrap/>
            <w:vAlign w:val="bottom"/>
            <w:hideMark/>
          </w:tcPr>
          <w:p w14:paraId="11B0A04C"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40024519" w14:textId="77777777" w:rsidR="00D56C20" w:rsidRPr="000035FA" w:rsidRDefault="00D56C20" w:rsidP="002C1CD6">
            <w:pPr>
              <w:spacing w:after="0" w:line="240" w:lineRule="auto"/>
              <w:rPr>
                <w:rFonts w:ascii="Helvetica" w:eastAsia="Times New Roman" w:hAnsi="Helvetica" w:cs="Arial"/>
                <w:sz w:val="20"/>
                <w:szCs w:val="20"/>
              </w:rPr>
            </w:pPr>
          </w:p>
        </w:tc>
        <w:tc>
          <w:tcPr>
            <w:tcW w:w="1107" w:type="dxa"/>
            <w:shd w:val="clear" w:color="auto" w:fill="auto"/>
            <w:noWrap/>
            <w:vAlign w:val="bottom"/>
            <w:hideMark/>
          </w:tcPr>
          <w:p w14:paraId="3221A07B" w14:textId="77777777" w:rsidR="00D56C20" w:rsidRPr="000035FA" w:rsidRDefault="00D56C20" w:rsidP="002C1CD6">
            <w:pPr>
              <w:spacing w:after="0" w:line="240" w:lineRule="auto"/>
              <w:rPr>
                <w:rFonts w:ascii="Helvetica" w:eastAsia="Times New Roman" w:hAnsi="Helvetica" w:cs="Arial"/>
                <w:sz w:val="20"/>
                <w:szCs w:val="20"/>
              </w:rPr>
            </w:pPr>
          </w:p>
        </w:tc>
        <w:tc>
          <w:tcPr>
            <w:tcW w:w="938" w:type="dxa"/>
            <w:shd w:val="clear" w:color="auto" w:fill="auto"/>
            <w:noWrap/>
            <w:vAlign w:val="bottom"/>
            <w:hideMark/>
          </w:tcPr>
          <w:p w14:paraId="4F1664B3" w14:textId="77777777" w:rsidR="00D56C20" w:rsidRPr="000035FA" w:rsidRDefault="00D56C20" w:rsidP="002C1CD6">
            <w:pPr>
              <w:spacing w:after="0" w:line="240" w:lineRule="auto"/>
              <w:rPr>
                <w:rFonts w:ascii="Helvetica" w:eastAsia="Times New Roman" w:hAnsi="Helvetica" w:cs="Arial"/>
                <w:sz w:val="20"/>
                <w:szCs w:val="20"/>
              </w:rPr>
            </w:pPr>
          </w:p>
        </w:tc>
        <w:tc>
          <w:tcPr>
            <w:tcW w:w="940" w:type="dxa"/>
            <w:shd w:val="clear" w:color="auto" w:fill="auto"/>
            <w:noWrap/>
            <w:vAlign w:val="bottom"/>
            <w:hideMark/>
          </w:tcPr>
          <w:p w14:paraId="292214F3" w14:textId="77777777" w:rsidR="00D56C20" w:rsidRPr="000035FA" w:rsidRDefault="00D56C20" w:rsidP="002C1CD6">
            <w:pPr>
              <w:spacing w:after="0" w:line="240" w:lineRule="auto"/>
              <w:rPr>
                <w:rFonts w:ascii="Helvetica" w:eastAsia="Times New Roman" w:hAnsi="Helvetica" w:cs="Arial"/>
                <w:sz w:val="20"/>
                <w:szCs w:val="20"/>
              </w:rPr>
            </w:pPr>
          </w:p>
        </w:tc>
        <w:tc>
          <w:tcPr>
            <w:tcW w:w="840" w:type="dxa"/>
            <w:shd w:val="clear" w:color="auto" w:fill="auto"/>
            <w:noWrap/>
            <w:vAlign w:val="bottom"/>
            <w:hideMark/>
          </w:tcPr>
          <w:p w14:paraId="1B8A73AA"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2983FBE1" w14:textId="77777777" w:rsidR="00D56C20" w:rsidRPr="000035FA" w:rsidRDefault="00D56C20" w:rsidP="002C1CD6">
            <w:pPr>
              <w:spacing w:after="0" w:line="240" w:lineRule="auto"/>
              <w:rPr>
                <w:rFonts w:ascii="Helvetica" w:eastAsia="Times New Roman" w:hAnsi="Helvetica" w:cs="Arial"/>
                <w:sz w:val="20"/>
                <w:szCs w:val="20"/>
              </w:rPr>
            </w:pPr>
          </w:p>
        </w:tc>
      </w:tr>
      <w:tr w:rsidR="00D56C20" w:rsidRPr="000035FA" w14:paraId="1DB7AE78" w14:textId="77777777" w:rsidTr="00D56C20">
        <w:trPr>
          <w:trHeight w:val="195"/>
        </w:trPr>
        <w:tc>
          <w:tcPr>
            <w:tcW w:w="3606" w:type="dxa"/>
            <w:shd w:val="clear" w:color="auto" w:fill="auto"/>
            <w:noWrap/>
            <w:vAlign w:val="bottom"/>
            <w:hideMark/>
          </w:tcPr>
          <w:p w14:paraId="2E91CCD5"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Owned with a </w:t>
            </w:r>
            <w:r w:rsidR="000035FA" w:rsidRPr="000035FA">
              <w:rPr>
                <w:rFonts w:ascii="Helvetica" w:eastAsia="Times New Roman" w:hAnsi="Helvetica" w:cs="Arial"/>
                <w:sz w:val="20"/>
                <w:szCs w:val="20"/>
              </w:rPr>
              <w:t>mortgage (</w:t>
            </w:r>
            <w:r w:rsidRPr="000035FA">
              <w:rPr>
                <w:rFonts w:ascii="Helvetica" w:eastAsia="Times New Roman" w:hAnsi="Helvetica" w:cs="Arial"/>
                <w:sz w:val="20"/>
                <w:szCs w:val="20"/>
              </w:rPr>
              <w:t>b)</w:t>
            </w:r>
          </w:p>
        </w:tc>
        <w:tc>
          <w:tcPr>
            <w:tcW w:w="928" w:type="dxa"/>
            <w:shd w:val="clear" w:color="auto" w:fill="auto"/>
            <w:noWrap/>
            <w:vAlign w:val="center"/>
            <w:hideMark/>
          </w:tcPr>
          <w:p w14:paraId="2A6BD575"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2,403,314</w:t>
            </w:r>
          </w:p>
        </w:tc>
        <w:tc>
          <w:tcPr>
            <w:tcW w:w="1107" w:type="dxa"/>
            <w:shd w:val="clear" w:color="auto" w:fill="auto"/>
            <w:noWrap/>
            <w:vAlign w:val="center"/>
            <w:hideMark/>
          </w:tcPr>
          <w:p w14:paraId="05E8A753"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255,269</w:t>
            </w:r>
          </w:p>
        </w:tc>
        <w:tc>
          <w:tcPr>
            <w:tcW w:w="938" w:type="dxa"/>
            <w:shd w:val="clear" w:color="auto" w:fill="auto"/>
            <w:noWrap/>
            <w:vAlign w:val="center"/>
            <w:hideMark/>
          </w:tcPr>
          <w:p w14:paraId="4967C902"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182,318</w:t>
            </w:r>
          </w:p>
        </w:tc>
        <w:tc>
          <w:tcPr>
            <w:tcW w:w="940" w:type="dxa"/>
            <w:shd w:val="clear" w:color="auto" w:fill="auto"/>
            <w:noWrap/>
            <w:vAlign w:val="center"/>
            <w:hideMark/>
          </w:tcPr>
          <w:p w14:paraId="2D9731DC"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6,985</w:t>
            </w:r>
          </w:p>
        </w:tc>
        <w:tc>
          <w:tcPr>
            <w:tcW w:w="840" w:type="dxa"/>
            <w:shd w:val="clear" w:color="auto" w:fill="auto"/>
            <w:noWrap/>
            <w:vAlign w:val="center"/>
            <w:hideMark/>
          </w:tcPr>
          <w:p w14:paraId="1C60A07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7,344</w:t>
            </w:r>
          </w:p>
        </w:tc>
        <w:tc>
          <w:tcPr>
            <w:tcW w:w="928" w:type="dxa"/>
            <w:shd w:val="clear" w:color="auto" w:fill="auto"/>
            <w:noWrap/>
            <w:vAlign w:val="center"/>
            <w:hideMark/>
          </w:tcPr>
          <w:p w14:paraId="41F98D8A"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2,855,222</w:t>
            </w:r>
          </w:p>
        </w:tc>
      </w:tr>
      <w:tr w:rsidR="00D56C20" w:rsidRPr="000035FA" w14:paraId="655C80F5" w14:textId="77777777" w:rsidTr="00D56C20">
        <w:trPr>
          <w:trHeight w:val="195"/>
        </w:trPr>
        <w:tc>
          <w:tcPr>
            <w:tcW w:w="3606" w:type="dxa"/>
            <w:shd w:val="clear" w:color="auto" w:fill="auto"/>
            <w:noWrap/>
            <w:vAlign w:val="bottom"/>
            <w:hideMark/>
          </w:tcPr>
          <w:p w14:paraId="2AACE213"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4569BA62"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1107" w:type="dxa"/>
            <w:shd w:val="clear" w:color="auto" w:fill="auto"/>
            <w:noWrap/>
            <w:vAlign w:val="bottom"/>
            <w:hideMark/>
          </w:tcPr>
          <w:p w14:paraId="04202662"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938" w:type="dxa"/>
            <w:shd w:val="clear" w:color="auto" w:fill="auto"/>
            <w:noWrap/>
            <w:vAlign w:val="bottom"/>
            <w:hideMark/>
          </w:tcPr>
          <w:p w14:paraId="606D3CD7"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940" w:type="dxa"/>
            <w:shd w:val="clear" w:color="auto" w:fill="auto"/>
            <w:noWrap/>
            <w:vAlign w:val="bottom"/>
            <w:hideMark/>
          </w:tcPr>
          <w:p w14:paraId="59C3E9A2"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840" w:type="dxa"/>
            <w:shd w:val="clear" w:color="auto" w:fill="auto"/>
            <w:noWrap/>
            <w:vAlign w:val="bottom"/>
            <w:hideMark/>
          </w:tcPr>
          <w:p w14:paraId="4BE6CA69"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928" w:type="dxa"/>
            <w:shd w:val="clear" w:color="auto" w:fill="auto"/>
            <w:noWrap/>
            <w:vAlign w:val="bottom"/>
            <w:hideMark/>
          </w:tcPr>
          <w:p w14:paraId="6FF000D3" w14:textId="77777777" w:rsidR="00D56C20" w:rsidRPr="000035FA" w:rsidRDefault="00D56C20" w:rsidP="002C1CD6">
            <w:pPr>
              <w:spacing w:after="0" w:line="240" w:lineRule="auto"/>
              <w:jc w:val="right"/>
              <w:rPr>
                <w:rFonts w:ascii="Helvetica" w:eastAsia="Times New Roman" w:hAnsi="Helvetica" w:cs="Arial"/>
                <w:sz w:val="20"/>
                <w:szCs w:val="20"/>
              </w:rPr>
            </w:pPr>
          </w:p>
        </w:tc>
      </w:tr>
      <w:tr w:rsidR="00D56C20" w:rsidRPr="000035FA" w14:paraId="19B20A91" w14:textId="77777777" w:rsidTr="00D56C20">
        <w:trPr>
          <w:trHeight w:val="195"/>
        </w:trPr>
        <w:tc>
          <w:tcPr>
            <w:tcW w:w="3606" w:type="dxa"/>
            <w:shd w:val="clear" w:color="auto" w:fill="auto"/>
            <w:noWrap/>
            <w:vAlign w:val="bottom"/>
            <w:hideMark/>
          </w:tcPr>
          <w:p w14:paraId="28CC1CD5"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Rented:</w:t>
            </w:r>
          </w:p>
        </w:tc>
        <w:tc>
          <w:tcPr>
            <w:tcW w:w="928" w:type="dxa"/>
            <w:shd w:val="clear" w:color="auto" w:fill="auto"/>
            <w:noWrap/>
            <w:vAlign w:val="bottom"/>
            <w:hideMark/>
          </w:tcPr>
          <w:p w14:paraId="397AEB73"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1107" w:type="dxa"/>
            <w:shd w:val="clear" w:color="auto" w:fill="auto"/>
            <w:noWrap/>
            <w:vAlign w:val="bottom"/>
            <w:hideMark/>
          </w:tcPr>
          <w:p w14:paraId="3BA76CF9"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938" w:type="dxa"/>
            <w:shd w:val="clear" w:color="auto" w:fill="auto"/>
            <w:noWrap/>
            <w:vAlign w:val="bottom"/>
            <w:hideMark/>
          </w:tcPr>
          <w:p w14:paraId="210C7044"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940" w:type="dxa"/>
            <w:shd w:val="clear" w:color="auto" w:fill="auto"/>
            <w:noWrap/>
            <w:vAlign w:val="bottom"/>
            <w:hideMark/>
          </w:tcPr>
          <w:p w14:paraId="753B9214"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840" w:type="dxa"/>
            <w:shd w:val="clear" w:color="auto" w:fill="auto"/>
            <w:noWrap/>
            <w:vAlign w:val="bottom"/>
            <w:hideMark/>
          </w:tcPr>
          <w:p w14:paraId="095FFE02" w14:textId="77777777" w:rsidR="00D56C20" w:rsidRPr="000035FA" w:rsidRDefault="00D56C20" w:rsidP="002C1CD6">
            <w:pPr>
              <w:spacing w:after="0" w:line="240" w:lineRule="auto"/>
              <w:jc w:val="right"/>
              <w:rPr>
                <w:rFonts w:ascii="Helvetica" w:eastAsia="Times New Roman" w:hAnsi="Helvetica" w:cs="Arial"/>
                <w:sz w:val="20"/>
                <w:szCs w:val="20"/>
              </w:rPr>
            </w:pPr>
          </w:p>
        </w:tc>
        <w:tc>
          <w:tcPr>
            <w:tcW w:w="928" w:type="dxa"/>
            <w:shd w:val="clear" w:color="auto" w:fill="auto"/>
            <w:noWrap/>
            <w:vAlign w:val="bottom"/>
            <w:hideMark/>
          </w:tcPr>
          <w:p w14:paraId="42A04634" w14:textId="77777777" w:rsidR="00D56C20" w:rsidRPr="000035FA" w:rsidRDefault="00D56C20" w:rsidP="002C1CD6">
            <w:pPr>
              <w:spacing w:after="0" w:line="240" w:lineRule="auto"/>
              <w:jc w:val="right"/>
              <w:rPr>
                <w:rFonts w:ascii="Helvetica" w:eastAsia="Times New Roman" w:hAnsi="Helvetica" w:cs="Arial"/>
                <w:sz w:val="20"/>
                <w:szCs w:val="20"/>
              </w:rPr>
            </w:pPr>
          </w:p>
        </w:tc>
      </w:tr>
      <w:tr w:rsidR="00D56C20" w:rsidRPr="000035FA" w14:paraId="1F4B7C12" w14:textId="77777777" w:rsidTr="00D56C20">
        <w:trPr>
          <w:trHeight w:val="195"/>
        </w:trPr>
        <w:tc>
          <w:tcPr>
            <w:tcW w:w="3606" w:type="dxa"/>
            <w:shd w:val="clear" w:color="auto" w:fill="auto"/>
            <w:noWrap/>
            <w:vAlign w:val="bottom"/>
            <w:hideMark/>
          </w:tcPr>
          <w:p w14:paraId="5E4C0FB3"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      Real estate agent</w:t>
            </w:r>
          </w:p>
        </w:tc>
        <w:tc>
          <w:tcPr>
            <w:tcW w:w="928" w:type="dxa"/>
            <w:shd w:val="clear" w:color="auto" w:fill="auto"/>
            <w:noWrap/>
            <w:vAlign w:val="center"/>
            <w:hideMark/>
          </w:tcPr>
          <w:p w14:paraId="27033A9E"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731,824</w:t>
            </w:r>
          </w:p>
        </w:tc>
        <w:tc>
          <w:tcPr>
            <w:tcW w:w="1107" w:type="dxa"/>
            <w:shd w:val="clear" w:color="auto" w:fill="auto"/>
            <w:noWrap/>
            <w:vAlign w:val="center"/>
            <w:hideMark/>
          </w:tcPr>
          <w:p w14:paraId="41EC8B27"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302,351</w:t>
            </w:r>
          </w:p>
        </w:tc>
        <w:tc>
          <w:tcPr>
            <w:tcW w:w="938" w:type="dxa"/>
            <w:shd w:val="clear" w:color="auto" w:fill="auto"/>
            <w:noWrap/>
            <w:vAlign w:val="center"/>
            <w:hideMark/>
          </w:tcPr>
          <w:p w14:paraId="2AA3232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493,400</w:t>
            </w:r>
          </w:p>
        </w:tc>
        <w:tc>
          <w:tcPr>
            <w:tcW w:w="940" w:type="dxa"/>
            <w:shd w:val="clear" w:color="auto" w:fill="auto"/>
            <w:noWrap/>
            <w:vAlign w:val="center"/>
            <w:hideMark/>
          </w:tcPr>
          <w:p w14:paraId="4F882353"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7,500</w:t>
            </w:r>
          </w:p>
        </w:tc>
        <w:tc>
          <w:tcPr>
            <w:tcW w:w="840" w:type="dxa"/>
            <w:shd w:val="clear" w:color="auto" w:fill="auto"/>
            <w:noWrap/>
            <w:vAlign w:val="center"/>
            <w:hideMark/>
          </w:tcPr>
          <w:p w14:paraId="34BFFBAC"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6,578</w:t>
            </w:r>
          </w:p>
        </w:tc>
        <w:tc>
          <w:tcPr>
            <w:tcW w:w="928" w:type="dxa"/>
            <w:shd w:val="clear" w:color="auto" w:fill="auto"/>
            <w:noWrap/>
            <w:vAlign w:val="center"/>
            <w:hideMark/>
          </w:tcPr>
          <w:p w14:paraId="4426CB21"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1,541,656</w:t>
            </w:r>
          </w:p>
        </w:tc>
      </w:tr>
      <w:tr w:rsidR="00D56C20" w:rsidRPr="000035FA" w14:paraId="09E71DA9" w14:textId="77777777" w:rsidTr="00D56C20">
        <w:trPr>
          <w:trHeight w:val="195"/>
        </w:trPr>
        <w:tc>
          <w:tcPr>
            <w:tcW w:w="3606" w:type="dxa"/>
            <w:shd w:val="clear" w:color="auto" w:fill="auto"/>
            <w:noWrap/>
            <w:vAlign w:val="bottom"/>
            <w:hideMark/>
          </w:tcPr>
          <w:p w14:paraId="2DE3722B"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      State or territory housing authority</w:t>
            </w:r>
          </w:p>
        </w:tc>
        <w:tc>
          <w:tcPr>
            <w:tcW w:w="928" w:type="dxa"/>
            <w:shd w:val="clear" w:color="auto" w:fill="auto"/>
            <w:noWrap/>
            <w:vAlign w:val="center"/>
            <w:hideMark/>
          </w:tcPr>
          <w:p w14:paraId="099F94DF"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134,922</w:t>
            </w:r>
          </w:p>
        </w:tc>
        <w:tc>
          <w:tcPr>
            <w:tcW w:w="1107" w:type="dxa"/>
            <w:shd w:val="clear" w:color="auto" w:fill="auto"/>
            <w:noWrap/>
            <w:vAlign w:val="center"/>
            <w:hideMark/>
          </w:tcPr>
          <w:p w14:paraId="4A1ED9CC"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87,934</w:t>
            </w:r>
          </w:p>
        </w:tc>
        <w:tc>
          <w:tcPr>
            <w:tcW w:w="938" w:type="dxa"/>
            <w:shd w:val="clear" w:color="auto" w:fill="auto"/>
            <w:noWrap/>
            <w:vAlign w:val="center"/>
            <w:hideMark/>
          </w:tcPr>
          <w:p w14:paraId="1C96361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75,784</w:t>
            </w:r>
          </w:p>
        </w:tc>
        <w:tc>
          <w:tcPr>
            <w:tcW w:w="940" w:type="dxa"/>
            <w:shd w:val="clear" w:color="auto" w:fill="auto"/>
            <w:noWrap/>
            <w:vAlign w:val="center"/>
            <w:hideMark/>
          </w:tcPr>
          <w:p w14:paraId="49A5AEB3"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524</w:t>
            </w:r>
          </w:p>
        </w:tc>
        <w:tc>
          <w:tcPr>
            <w:tcW w:w="840" w:type="dxa"/>
            <w:shd w:val="clear" w:color="auto" w:fill="auto"/>
            <w:noWrap/>
            <w:vAlign w:val="center"/>
            <w:hideMark/>
          </w:tcPr>
          <w:p w14:paraId="742BF885"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798</w:t>
            </w:r>
          </w:p>
        </w:tc>
        <w:tc>
          <w:tcPr>
            <w:tcW w:w="928" w:type="dxa"/>
            <w:shd w:val="clear" w:color="auto" w:fill="auto"/>
            <w:noWrap/>
            <w:vAlign w:val="center"/>
            <w:hideMark/>
          </w:tcPr>
          <w:p w14:paraId="55E9EAF2"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299,949</w:t>
            </w:r>
          </w:p>
        </w:tc>
      </w:tr>
      <w:tr w:rsidR="00D56C20" w:rsidRPr="000035FA" w14:paraId="51E4A2EA" w14:textId="77777777" w:rsidTr="00D56C20">
        <w:trPr>
          <w:trHeight w:val="195"/>
        </w:trPr>
        <w:tc>
          <w:tcPr>
            <w:tcW w:w="3606" w:type="dxa"/>
            <w:shd w:val="clear" w:color="auto" w:fill="auto"/>
            <w:noWrap/>
            <w:vAlign w:val="bottom"/>
            <w:hideMark/>
          </w:tcPr>
          <w:p w14:paraId="02698469"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      Person not in same household(c)</w:t>
            </w:r>
          </w:p>
        </w:tc>
        <w:tc>
          <w:tcPr>
            <w:tcW w:w="928" w:type="dxa"/>
            <w:shd w:val="clear" w:color="auto" w:fill="auto"/>
            <w:noWrap/>
            <w:vAlign w:val="center"/>
            <w:hideMark/>
          </w:tcPr>
          <w:p w14:paraId="25096379"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331,467</w:t>
            </w:r>
          </w:p>
        </w:tc>
        <w:tc>
          <w:tcPr>
            <w:tcW w:w="1107" w:type="dxa"/>
            <w:shd w:val="clear" w:color="auto" w:fill="auto"/>
            <w:noWrap/>
            <w:vAlign w:val="center"/>
            <w:hideMark/>
          </w:tcPr>
          <w:p w14:paraId="7439DCB1"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81,266</w:t>
            </w:r>
          </w:p>
        </w:tc>
        <w:tc>
          <w:tcPr>
            <w:tcW w:w="938" w:type="dxa"/>
            <w:shd w:val="clear" w:color="auto" w:fill="auto"/>
            <w:noWrap/>
            <w:vAlign w:val="center"/>
            <w:hideMark/>
          </w:tcPr>
          <w:p w14:paraId="6AD46AEF"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96,858</w:t>
            </w:r>
          </w:p>
        </w:tc>
        <w:tc>
          <w:tcPr>
            <w:tcW w:w="940" w:type="dxa"/>
            <w:shd w:val="clear" w:color="auto" w:fill="auto"/>
            <w:noWrap/>
            <w:vAlign w:val="center"/>
            <w:hideMark/>
          </w:tcPr>
          <w:p w14:paraId="72173DBF"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4,749</w:t>
            </w:r>
          </w:p>
        </w:tc>
        <w:tc>
          <w:tcPr>
            <w:tcW w:w="840" w:type="dxa"/>
            <w:shd w:val="clear" w:color="auto" w:fill="auto"/>
            <w:noWrap/>
            <w:vAlign w:val="center"/>
            <w:hideMark/>
          </w:tcPr>
          <w:p w14:paraId="00A8AA0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3,956</w:t>
            </w:r>
          </w:p>
        </w:tc>
        <w:tc>
          <w:tcPr>
            <w:tcW w:w="928" w:type="dxa"/>
            <w:shd w:val="clear" w:color="auto" w:fill="auto"/>
            <w:noWrap/>
            <w:vAlign w:val="center"/>
            <w:hideMark/>
          </w:tcPr>
          <w:p w14:paraId="618F4F5E"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518,300</w:t>
            </w:r>
          </w:p>
        </w:tc>
      </w:tr>
      <w:tr w:rsidR="00D56C20" w:rsidRPr="000035FA" w14:paraId="6CC3A945" w14:textId="77777777" w:rsidTr="00D56C20">
        <w:trPr>
          <w:trHeight w:val="195"/>
        </w:trPr>
        <w:tc>
          <w:tcPr>
            <w:tcW w:w="3606" w:type="dxa"/>
            <w:shd w:val="clear" w:color="auto" w:fill="auto"/>
            <w:noWrap/>
            <w:vAlign w:val="bottom"/>
            <w:hideMark/>
          </w:tcPr>
          <w:p w14:paraId="4B4AC12D"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      Housing co-operative/community/church group</w:t>
            </w:r>
          </w:p>
        </w:tc>
        <w:tc>
          <w:tcPr>
            <w:tcW w:w="928" w:type="dxa"/>
            <w:shd w:val="clear" w:color="auto" w:fill="auto"/>
            <w:noWrap/>
            <w:vAlign w:val="center"/>
            <w:hideMark/>
          </w:tcPr>
          <w:p w14:paraId="0DE1B0D8"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17,792</w:t>
            </w:r>
          </w:p>
        </w:tc>
        <w:tc>
          <w:tcPr>
            <w:tcW w:w="1107" w:type="dxa"/>
            <w:shd w:val="clear" w:color="auto" w:fill="auto"/>
            <w:noWrap/>
            <w:vAlign w:val="center"/>
            <w:hideMark/>
          </w:tcPr>
          <w:p w14:paraId="264A0B9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16,330</w:t>
            </w:r>
          </w:p>
        </w:tc>
        <w:tc>
          <w:tcPr>
            <w:tcW w:w="938" w:type="dxa"/>
            <w:shd w:val="clear" w:color="auto" w:fill="auto"/>
            <w:noWrap/>
            <w:vAlign w:val="center"/>
            <w:hideMark/>
          </w:tcPr>
          <w:p w14:paraId="01AC41E8"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16,153</w:t>
            </w:r>
          </w:p>
        </w:tc>
        <w:tc>
          <w:tcPr>
            <w:tcW w:w="940" w:type="dxa"/>
            <w:shd w:val="clear" w:color="auto" w:fill="auto"/>
            <w:noWrap/>
            <w:vAlign w:val="center"/>
            <w:hideMark/>
          </w:tcPr>
          <w:p w14:paraId="486919C7"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212</w:t>
            </w:r>
          </w:p>
        </w:tc>
        <w:tc>
          <w:tcPr>
            <w:tcW w:w="840" w:type="dxa"/>
            <w:shd w:val="clear" w:color="auto" w:fill="auto"/>
            <w:noWrap/>
            <w:vAlign w:val="center"/>
            <w:hideMark/>
          </w:tcPr>
          <w:p w14:paraId="030EBF7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578</w:t>
            </w:r>
          </w:p>
        </w:tc>
        <w:tc>
          <w:tcPr>
            <w:tcW w:w="928" w:type="dxa"/>
            <w:shd w:val="clear" w:color="auto" w:fill="auto"/>
            <w:noWrap/>
            <w:vAlign w:val="center"/>
            <w:hideMark/>
          </w:tcPr>
          <w:p w14:paraId="67D4E0DF"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51,068</w:t>
            </w:r>
          </w:p>
        </w:tc>
      </w:tr>
      <w:tr w:rsidR="00D56C20" w:rsidRPr="000035FA" w14:paraId="3F2CB6FE" w14:textId="77777777" w:rsidTr="00D56C20">
        <w:trPr>
          <w:trHeight w:val="195"/>
        </w:trPr>
        <w:tc>
          <w:tcPr>
            <w:tcW w:w="3606" w:type="dxa"/>
            <w:shd w:val="clear" w:color="auto" w:fill="auto"/>
            <w:noWrap/>
            <w:vAlign w:val="bottom"/>
            <w:hideMark/>
          </w:tcPr>
          <w:p w14:paraId="2941C03E"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      Other landlord </w:t>
            </w:r>
            <w:r w:rsidR="000035FA" w:rsidRPr="000035FA">
              <w:rPr>
                <w:rFonts w:ascii="Helvetica" w:eastAsia="Times New Roman" w:hAnsi="Helvetica" w:cs="Arial"/>
                <w:sz w:val="20"/>
                <w:szCs w:val="20"/>
              </w:rPr>
              <w:t>type (</w:t>
            </w:r>
            <w:r w:rsidRPr="000035FA">
              <w:rPr>
                <w:rFonts w:ascii="Helvetica" w:eastAsia="Times New Roman" w:hAnsi="Helvetica" w:cs="Arial"/>
                <w:sz w:val="20"/>
                <w:szCs w:val="20"/>
              </w:rPr>
              <w:t>d)</w:t>
            </w:r>
          </w:p>
        </w:tc>
        <w:tc>
          <w:tcPr>
            <w:tcW w:w="928" w:type="dxa"/>
            <w:shd w:val="clear" w:color="auto" w:fill="auto"/>
            <w:noWrap/>
            <w:vAlign w:val="center"/>
            <w:hideMark/>
          </w:tcPr>
          <w:p w14:paraId="5A78CDE2"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67,065</w:t>
            </w:r>
          </w:p>
        </w:tc>
        <w:tc>
          <w:tcPr>
            <w:tcW w:w="1107" w:type="dxa"/>
            <w:shd w:val="clear" w:color="auto" w:fill="auto"/>
            <w:noWrap/>
            <w:vAlign w:val="center"/>
            <w:hideMark/>
          </w:tcPr>
          <w:p w14:paraId="677F3C41"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13,191</w:t>
            </w:r>
          </w:p>
        </w:tc>
        <w:tc>
          <w:tcPr>
            <w:tcW w:w="938" w:type="dxa"/>
            <w:shd w:val="clear" w:color="auto" w:fill="auto"/>
            <w:noWrap/>
            <w:vAlign w:val="center"/>
            <w:hideMark/>
          </w:tcPr>
          <w:p w14:paraId="17376BB2"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13,567</w:t>
            </w:r>
          </w:p>
        </w:tc>
        <w:tc>
          <w:tcPr>
            <w:tcW w:w="940" w:type="dxa"/>
            <w:shd w:val="clear" w:color="auto" w:fill="auto"/>
            <w:noWrap/>
            <w:vAlign w:val="center"/>
            <w:hideMark/>
          </w:tcPr>
          <w:p w14:paraId="442B5C9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9,607</w:t>
            </w:r>
          </w:p>
        </w:tc>
        <w:tc>
          <w:tcPr>
            <w:tcW w:w="840" w:type="dxa"/>
            <w:shd w:val="clear" w:color="auto" w:fill="auto"/>
            <w:noWrap/>
            <w:vAlign w:val="center"/>
            <w:hideMark/>
          </w:tcPr>
          <w:p w14:paraId="4E8BC6E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2,071</w:t>
            </w:r>
          </w:p>
        </w:tc>
        <w:tc>
          <w:tcPr>
            <w:tcW w:w="928" w:type="dxa"/>
            <w:shd w:val="clear" w:color="auto" w:fill="auto"/>
            <w:noWrap/>
            <w:vAlign w:val="center"/>
            <w:hideMark/>
          </w:tcPr>
          <w:p w14:paraId="635B432B"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105,497</w:t>
            </w:r>
          </w:p>
        </w:tc>
      </w:tr>
      <w:tr w:rsidR="00D56C20" w:rsidRPr="000035FA" w14:paraId="37E62F7B" w14:textId="77777777" w:rsidTr="00D56C20">
        <w:trPr>
          <w:trHeight w:val="195"/>
        </w:trPr>
        <w:tc>
          <w:tcPr>
            <w:tcW w:w="3606" w:type="dxa"/>
            <w:shd w:val="clear" w:color="auto" w:fill="auto"/>
            <w:noWrap/>
            <w:vAlign w:val="bottom"/>
            <w:hideMark/>
          </w:tcPr>
          <w:p w14:paraId="3174F71B"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      Landlord type not stated</w:t>
            </w:r>
          </w:p>
        </w:tc>
        <w:tc>
          <w:tcPr>
            <w:tcW w:w="928" w:type="dxa"/>
            <w:shd w:val="clear" w:color="auto" w:fill="auto"/>
            <w:noWrap/>
            <w:vAlign w:val="center"/>
            <w:hideMark/>
          </w:tcPr>
          <w:p w14:paraId="6F388F90"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30,384</w:t>
            </w:r>
          </w:p>
        </w:tc>
        <w:tc>
          <w:tcPr>
            <w:tcW w:w="1107" w:type="dxa"/>
            <w:shd w:val="clear" w:color="auto" w:fill="auto"/>
            <w:noWrap/>
            <w:vAlign w:val="center"/>
            <w:hideMark/>
          </w:tcPr>
          <w:p w14:paraId="67E86F7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6,287</w:t>
            </w:r>
          </w:p>
        </w:tc>
        <w:tc>
          <w:tcPr>
            <w:tcW w:w="938" w:type="dxa"/>
            <w:shd w:val="clear" w:color="auto" w:fill="auto"/>
            <w:noWrap/>
            <w:vAlign w:val="center"/>
            <w:hideMark/>
          </w:tcPr>
          <w:p w14:paraId="5B08EE49"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6,566</w:t>
            </w:r>
          </w:p>
        </w:tc>
        <w:tc>
          <w:tcPr>
            <w:tcW w:w="940" w:type="dxa"/>
            <w:shd w:val="clear" w:color="auto" w:fill="auto"/>
            <w:noWrap/>
            <w:vAlign w:val="center"/>
            <w:hideMark/>
          </w:tcPr>
          <w:p w14:paraId="00AA605B"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938</w:t>
            </w:r>
          </w:p>
        </w:tc>
        <w:tc>
          <w:tcPr>
            <w:tcW w:w="840" w:type="dxa"/>
            <w:shd w:val="clear" w:color="auto" w:fill="auto"/>
            <w:noWrap/>
            <w:vAlign w:val="center"/>
            <w:hideMark/>
          </w:tcPr>
          <w:p w14:paraId="233F43E0"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646</w:t>
            </w:r>
          </w:p>
        </w:tc>
        <w:tc>
          <w:tcPr>
            <w:tcW w:w="928" w:type="dxa"/>
            <w:shd w:val="clear" w:color="auto" w:fill="auto"/>
            <w:noWrap/>
            <w:vAlign w:val="center"/>
            <w:hideMark/>
          </w:tcPr>
          <w:p w14:paraId="4D1BA06C"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44,830</w:t>
            </w:r>
          </w:p>
        </w:tc>
      </w:tr>
      <w:tr w:rsidR="00D56C20" w:rsidRPr="000035FA" w14:paraId="659C378C" w14:textId="77777777" w:rsidTr="00D56C20">
        <w:trPr>
          <w:trHeight w:val="195"/>
        </w:trPr>
        <w:tc>
          <w:tcPr>
            <w:tcW w:w="3606" w:type="dxa"/>
            <w:shd w:val="clear" w:color="auto" w:fill="auto"/>
            <w:noWrap/>
            <w:vAlign w:val="bottom"/>
            <w:hideMark/>
          </w:tcPr>
          <w:p w14:paraId="14B8548F" w14:textId="77777777" w:rsidR="00D56C20" w:rsidRPr="000035FA" w:rsidRDefault="00D56C20" w:rsidP="002C1CD6">
            <w:pPr>
              <w:spacing w:after="0" w:line="240" w:lineRule="auto"/>
              <w:rPr>
                <w:rFonts w:ascii="Helvetica" w:eastAsia="Times New Roman" w:hAnsi="Helvetica" w:cs="Arial"/>
                <w:i/>
                <w:iCs/>
                <w:sz w:val="20"/>
                <w:szCs w:val="20"/>
              </w:rPr>
            </w:pPr>
            <w:r w:rsidRPr="000035FA">
              <w:rPr>
                <w:rFonts w:ascii="Helvetica" w:eastAsia="Times New Roman" w:hAnsi="Helvetica" w:cs="Arial"/>
                <w:i/>
                <w:iCs/>
                <w:sz w:val="20"/>
                <w:szCs w:val="20"/>
              </w:rPr>
              <w:t xml:space="preserve">      Total</w:t>
            </w:r>
          </w:p>
        </w:tc>
        <w:tc>
          <w:tcPr>
            <w:tcW w:w="928" w:type="dxa"/>
            <w:shd w:val="clear" w:color="auto" w:fill="auto"/>
            <w:noWrap/>
            <w:vAlign w:val="center"/>
            <w:hideMark/>
          </w:tcPr>
          <w:p w14:paraId="7E90A160" w14:textId="77777777" w:rsidR="00D56C20" w:rsidRPr="000035FA" w:rsidRDefault="00D56C20" w:rsidP="002C1CD6">
            <w:pPr>
              <w:spacing w:after="0" w:line="240" w:lineRule="auto"/>
              <w:jc w:val="right"/>
              <w:rPr>
                <w:rFonts w:ascii="Helvetica" w:eastAsia="Times New Roman" w:hAnsi="Helvetica" w:cs="Arial"/>
                <w:i/>
                <w:iCs/>
                <w:sz w:val="20"/>
                <w:szCs w:val="20"/>
              </w:rPr>
            </w:pPr>
            <w:r w:rsidRPr="000035FA">
              <w:rPr>
                <w:rFonts w:ascii="Helvetica" w:eastAsia="Times New Roman" w:hAnsi="Helvetica" w:cs="Arial"/>
                <w:i/>
                <w:iCs/>
                <w:sz w:val="20"/>
                <w:szCs w:val="20"/>
              </w:rPr>
              <w:t>1,313,454</w:t>
            </w:r>
          </w:p>
        </w:tc>
        <w:tc>
          <w:tcPr>
            <w:tcW w:w="1107" w:type="dxa"/>
            <w:shd w:val="clear" w:color="auto" w:fill="auto"/>
            <w:noWrap/>
            <w:vAlign w:val="center"/>
            <w:hideMark/>
          </w:tcPr>
          <w:p w14:paraId="0D8BDF42" w14:textId="77777777" w:rsidR="00D56C20" w:rsidRPr="000035FA" w:rsidRDefault="00D56C20" w:rsidP="002C1CD6">
            <w:pPr>
              <w:spacing w:after="0" w:line="240" w:lineRule="auto"/>
              <w:jc w:val="right"/>
              <w:rPr>
                <w:rFonts w:ascii="Helvetica" w:eastAsia="Times New Roman" w:hAnsi="Helvetica" w:cs="Arial"/>
                <w:i/>
                <w:iCs/>
                <w:sz w:val="20"/>
                <w:szCs w:val="20"/>
              </w:rPr>
            </w:pPr>
            <w:r w:rsidRPr="000035FA">
              <w:rPr>
                <w:rFonts w:ascii="Helvetica" w:eastAsia="Times New Roman" w:hAnsi="Helvetica" w:cs="Arial"/>
                <w:i/>
                <w:iCs/>
                <w:sz w:val="20"/>
                <w:szCs w:val="20"/>
              </w:rPr>
              <w:t>507,361</w:t>
            </w:r>
          </w:p>
        </w:tc>
        <w:tc>
          <w:tcPr>
            <w:tcW w:w="938" w:type="dxa"/>
            <w:shd w:val="clear" w:color="auto" w:fill="auto"/>
            <w:noWrap/>
            <w:vAlign w:val="center"/>
            <w:hideMark/>
          </w:tcPr>
          <w:p w14:paraId="4A00925C" w14:textId="77777777" w:rsidR="00D56C20" w:rsidRPr="000035FA" w:rsidRDefault="00D56C20" w:rsidP="002C1CD6">
            <w:pPr>
              <w:spacing w:after="0" w:line="240" w:lineRule="auto"/>
              <w:jc w:val="right"/>
              <w:rPr>
                <w:rFonts w:ascii="Helvetica" w:eastAsia="Times New Roman" w:hAnsi="Helvetica" w:cs="Arial"/>
                <w:i/>
                <w:iCs/>
                <w:sz w:val="20"/>
                <w:szCs w:val="20"/>
              </w:rPr>
            </w:pPr>
            <w:r w:rsidRPr="000035FA">
              <w:rPr>
                <w:rFonts w:ascii="Helvetica" w:eastAsia="Times New Roman" w:hAnsi="Helvetica" w:cs="Arial"/>
                <w:i/>
                <w:iCs/>
                <w:sz w:val="20"/>
                <w:szCs w:val="20"/>
              </w:rPr>
              <w:t>702,331</w:t>
            </w:r>
          </w:p>
        </w:tc>
        <w:tc>
          <w:tcPr>
            <w:tcW w:w="940" w:type="dxa"/>
            <w:shd w:val="clear" w:color="auto" w:fill="auto"/>
            <w:noWrap/>
            <w:vAlign w:val="center"/>
            <w:hideMark/>
          </w:tcPr>
          <w:p w14:paraId="12FBB3C8" w14:textId="77777777" w:rsidR="00D56C20" w:rsidRPr="000035FA" w:rsidRDefault="00D56C20" w:rsidP="002C1CD6">
            <w:pPr>
              <w:spacing w:after="0" w:line="240" w:lineRule="auto"/>
              <w:jc w:val="right"/>
              <w:rPr>
                <w:rFonts w:ascii="Helvetica" w:eastAsia="Times New Roman" w:hAnsi="Helvetica" w:cs="Arial"/>
                <w:i/>
                <w:iCs/>
                <w:sz w:val="20"/>
                <w:szCs w:val="20"/>
              </w:rPr>
            </w:pPr>
            <w:r w:rsidRPr="000035FA">
              <w:rPr>
                <w:rFonts w:ascii="Helvetica" w:eastAsia="Times New Roman" w:hAnsi="Helvetica" w:cs="Arial"/>
                <w:i/>
                <w:iCs/>
                <w:sz w:val="20"/>
                <w:szCs w:val="20"/>
              </w:rPr>
              <w:t>23,534</w:t>
            </w:r>
          </w:p>
        </w:tc>
        <w:tc>
          <w:tcPr>
            <w:tcW w:w="840" w:type="dxa"/>
            <w:shd w:val="clear" w:color="auto" w:fill="auto"/>
            <w:noWrap/>
            <w:vAlign w:val="center"/>
            <w:hideMark/>
          </w:tcPr>
          <w:p w14:paraId="5D2CC9C2" w14:textId="77777777" w:rsidR="00D56C20" w:rsidRPr="000035FA" w:rsidRDefault="00D56C20" w:rsidP="002C1CD6">
            <w:pPr>
              <w:spacing w:after="0" w:line="240" w:lineRule="auto"/>
              <w:jc w:val="right"/>
              <w:rPr>
                <w:rFonts w:ascii="Helvetica" w:eastAsia="Times New Roman" w:hAnsi="Helvetica" w:cs="Arial"/>
                <w:i/>
                <w:iCs/>
                <w:sz w:val="20"/>
                <w:szCs w:val="20"/>
              </w:rPr>
            </w:pPr>
            <w:r w:rsidRPr="000035FA">
              <w:rPr>
                <w:rFonts w:ascii="Helvetica" w:eastAsia="Times New Roman" w:hAnsi="Helvetica" w:cs="Arial"/>
                <w:i/>
                <w:iCs/>
                <w:sz w:val="20"/>
                <w:szCs w:val="20"/>
              </w:rPr>
              <w:t>14,623</w:t>
            </w:r>
          </w:p>
        </w:tc>
        <w:tc>
          <w:tcPr>
            <w:tcW w:w="928" w:type="dxa"/>
            <w:shd w:val="clear" w:color="auto" w:fill="auto"/>
            <w:noWrap/>
            <w:vAlign w:val="center"/>
            <w:hideMark/>
          </w:tcPr>
          <w:p w14:paraId="1A4509F8" w14:textId="77777777" w:rsidR="00D56C20" w:rsidRPr="000035FA" w:rsidRDefault="000B15F2" w:rsidP="002C1CD6">
            <w:pPr>
              <w:spacing w:after="0" w:line="240" w:lineRule="auto"/>
              <w:jc w:val="right"/>
              <w:rPr>
                <w:rFonts w:ascii="Helvetica" w:eastAsia="Times New Roman" w:hAnsi="Helvetica" w:cs="Arial"/>
                <w:i/>
                <w:iCs/>
                <w:sz w:val="20"/>
                <w:szCs w:val="20"/>
              </w:rPr>
            </w:pPr>
            <w:r w:rsidRPr="000B15F2">
              <w:rPr>
                <w:rFonts w:ascii="Helvetica" w:eastAsia="Times New Roman" w:hAnsi="Helvetica" w:cs="Arial"/>
                <w:i/>
                <w:iCs/>
                <w:sz w:val="20"/>
                <w:szCs w:val="20"/>
                <w:highlight w:val="yellow"/>
              </w:rPr>
              <w:t>2,561,302</w:t>
            </w:r>
          </w:p>
        </w:tc>
      </w:tr>
      <w:tr w:rsidR="00D56C20" w:rsidRPr="000035FA" w14:paraId="4751DD6B" w14:textId="77777777" w:rsidTr="00D56C20">
        <w:trPr>
          <w:trHeight w:val="195"/>
        </w:trPr>
        <w:tc>
          <w:tcPr>
            <w:tcW w:w="3606" w:type="dxa"/>
            <w:shd w:val="clear" w:color="auto" w:fill="auto"/>
            <w:noWrap/>
            <w:vAlign w:val="bottom"/>
            <w:hideMark/>
          </w:tcPr>
          <w:p w14:paraId="350BE880" w14:textId="77777777" w:rsidR="00D56C20" w:rsidRPr="000035FA" w:rsidRDefault="00D56C20" w:rsidP="002C1CD6">
            <w:pPr>
              <w:spacing w:after="0" w:line="240" w:lineRule="auto"/>
              <w:rPr>
                <w:rFonts w:ascii="Helvetica" w:eastAsia="Times New Roman" w:hAnsi="Helvetica" w:cs="Arial"/>
                <w:i/>
                <w:iCs/>
                <w:sz w:val="20"/>
                <w:szCs w:val="20"/>
              </w:rPr>
            </w:pPr>
          </w:p>
        </w:tc>
        <w:tc>
          <w:tcPr>
            <w:tcW w:w="928" w:type="dxa"/>
            <w:shd w:val="clear" w:color="auto" w:fill="auto"/>
            <w:noWrap/>
            <w:vAlign w:val="bottom"/>
            <w:hideMark/>
          </w:tcPr>
          <w:p w14:paraId="24E34CE5" w14:textId="77777777" w:rsidR="00D56C20" w:rsidRPr="000035FA" w:rsidRDefault="00D56C20" w:rsidP="002C1CD6">
            <w:pPr>
              <w:spacing w:after="0" w:line="240" w:lineRule="auto"/>
              <w:rPr>
                <w:rFonts w:ascii="Helvetica" w:eastAsia="Times New Roman" w:hAnsi="Helvetica" w:cs="Arial"/>
                <w:sz w:val="20"/>
                <w:szCs w:val="20"/>
              </w:rPr>
            </w:pPr>
          </w:p>
        </w:tc>
        <w:tc>
          <w:tcPr>
            <w:tcW w:w="1107" w:type="dxa"/>
            <w:shd w:val="clear" w:color="auto" w:fill="auto"/>
            <w:noWrap/>
            <w:vAlign w:val="bottom"/>
            <w:hideMark/>
          </w:tcPr>
          <w:p w14:paraId="3F09B13A" w14:textId="77777777" w:rsidR="00D56C20" w:rsidRPr="000035FA" w:rsidRDefault="00D56C20" w:rsidP="002C1CD6">
            <w:pPr>
              <w:spacing w:after="0" w:line="240" w:lineRule="auto"/>
              <w:rPr>
                <w:rFonts w:ascii="Helvetica" w:eastAsia="Times New Roman" w:hAnsi="Helvetica" w:cs="Arial"/>
                <w:sz w:val="20"/>
                <w:szCs w:val="20"/>
              </w:rPr>
            </w:pPr>
          </w:p>
        </w:tc>
        <w:tc>
          <w:tcPr>
            <w:tcW w:w="938" w:type="dxa"/>
            <w:shd w:val="clear" w:color="auto" w:fill="auto"/>
            <w:noWrap/>
            <w:vAlign w:val="bottom"/>
            <w:hideMark/>
          </w:tcPr>
          <w:p w14:paraId="71E0D536" w14:textId="77777777" w:rsidR="00D56C20" w:rsidRPr="000035FA" w:rsidRDefault="00D56C20" w:rsidP="002C1CD6">
            <w:pPr>
              <w:spacing w:after="0" w:line="240" w:lineRule="auto"/>
              <w:rPr>
                <w:rFonts w:ascii="Helvetica" w:eastAsia="Times New Roman" w:hAnsi="Helvetica" w:cs="Arial"/>
                <w:sz w:val="20"/>
                <w:szCs w:val="20"/>
              </w:rPr>
            </w:pPr>
          </w:p>
        </w:tc>
        <w:tc>
          <w:tcPr>
            <w:tcW w:w="940" w:type="dxa"/>
            <w:shd w:val="clear" w:color="auto" w:fill="auto"/>
            <w:noWrap/>
            <w:vAlign w:val="bottom"/>
            <w:hideMark/>
          </w:tcPr>
          <w:p w14:paraId="59605BF9" w14:textId="77777777" w:rsidR="00D56C20" w:rsidRPr="000035FA" w:rsidRDefault="00D56C20" w:rsidP="002C1CD6">
            <w:pPr>
              <w:spacing w:after="0" w:line="240" w:lineRule="auto"/>
              <w:rPr>
                <w:rFonts w:ascii="Helvetica" w:eastAsia="Times New Roman" w:hAnsi="Helvetica" w:cs="Arial"/>
                <w:sz w:val="20"/>
                <w:szCs w:val="20"/>
              </w:rPr>
            </w:pPr>
          </w:p>
        </w:tc>
        <w:tc>
          <w:tcPr>
            <w:tcW w:w="840" w:type="dxa"/>
            <w:shd w:val="clear" w:color="auto" w:fill="auto"/>
            <w:noWrap/>
            <w:vAlign w:val="bottom"/>
            <w:hideMark/>
          </w:tcPr>
          <w:p w14:paraId="60B533E6"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2294F398" w14:textId="77777777" w:rsidR="00D56C20" w:rsidRPr="000035FA" w:rsidRDefault="00D56C20" w:rsidP="002C1CD6">
            <w:pPr>
              <w:spacing w:after="0" w:line="240" w:lineRule="auto"/>
              <w:rPr>
                <w:rFonts w:ascii="Helvetica" w:eastAsia="Times New Roman" w:hAnsi="Helvetica" w:cs="Arial"/>
                <w:sz w:val="20"/>
                <w:szCs w:val="20"/>
              </w:rPr>
            </w:pPr>
          </w:p>
        </w:tc>
      </w:tr>
      <w:tr w:rsidR="00D56C20" w:rsidRPr="000035FA" w14:paraId="5F0CC683" w14:textId="77777777" w:rsidTr="00D56C20">
        <w:trPr>
          <w:trHeight w:val="195"/>
        </w:trPr>
        <w:tc>
          <w:tcPr>
            <w:tcW w:w="3606" w:type="dxa"/>
            <w:shd w:val="clear" w:color="auto" w:fill="auto"/>
            <w:noWrap/>
            <w:vAlign w:val="bottom"/>
            <w:hideMark/>
          </w:tcPr>
          <w:p w14:paraId="2AA82B7D"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 xml:space="preserve">Other tenure </w:t>
            </w:r>
            <w:r w:rsidR="000035FA" w:rsidRPr="000035FA">
              <w:rPr>
                <w:rFonts w:ascii="Helvetica" w:eastAsia="Times New Roman" w:hAnsi="Helvetica" w:cs="Arial"/>
                <w:sz w:val="20"/>
                <w:szCs w:val="20"/>
              </w:rPr>
              <w:t>type (</w:t>
            </w:r>
            <w:r w:rsidRPr="000035FA">
              <w:rPr>
                <w:rFonts w:ascii="Helvetica" w:eastAsia="Times New Roman" w:hAnsi="Helvetica" w:cs="Arial"/>
                <w:sz w:val="20"/>
                <w:szCs w:val="20"/>
              </w:rPr>
              <w:t>e)</w:t>
            </w:r>
          </w:p>
        </w:tc>
        <w:tc>
          <w:tcPr>
            <w:tcW w:w="928" w:type="dxa"/>
            <w:shd w:val="clear" w:color="auto" w:fill="auto"/>
            <w:noWrap/>
            <w:vAlign w:val="center"/>
            <w:hideMark/>
          </w:tcPr>
          <w:p w14:paraId="1099172E"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36,395</w:t>
            </w:r>
          </w:p>
        </w:tc>
        <w:tc>
          <w:tcPr>
            <w:tcW w:w="1107" w:type="dxa"/>
            <w:shd w:val="clear" w:color="auto" w:fill="auto"/>
            <w:noWrap/>
            <w:vAlign w:val="center"/>
            <w:hideMark/>
          </w:tcPr>
          <w:p w14:paraId="5C1AFF19"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24,698</w:t>
            </w:r>
          </w:p>
        </w:tc>
        <w:tc>
          <w:tcPr>
            <w:tcW w:w="938" w:type="dxa"/>
            <w:shd w:val="clear" w:color="auto" w:fill="auto"/>
            <w:noWrap/>
            <w:vAlign w:val="center"/>
            <w:hideMark/>
          </w:tcPr>
          <w:p w14:paraId="12B9558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15,861</w:t>
            </w:r>
          </w:p>
        </w:tc>
        <w:tc>
          <w:tcPr>
            <w:tcW w:w="940" w:type="dxa"/>
            <w:shd w:val="clear" w:color="auto" w:fill="auto"/>
            <w:noWrap/>
            <w:vAlign w:val="center"/>
            <w:hideMark/>
          </w:tcPr>
          <w:p w14:paraId="6B13B22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950</w:t>
            </w:r>
          </w:p>
        </w:tc>
        <w:tc>
          <w:tcPr>
            <w:tcW w:w="840" w:type="dxa"/>
            <w:shd w:val="clear" w:color="auto" w:fill="auto"/>
            <w:noWrap/>
            <w:vAlign w:val="center"/>
            <w:hideMark/>
          </w:tcPr>
          <w:p w14:paraId="6DA74BC6"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1,083</w:t>
            </w:r>
          </w:p>
        </w:tc>
        <w:tc>
          <w:tcPr>
            <w:tcW w:w="928" w:type="dxa"/>
            <w:shd w:val="clear" w:color="auto" w:fill="auto"/>
            <w:noWrap/>
            <w:vAlign w:val="center"/>
            <w:hideMark/>
          </w:tcPr>
          <w:p w14:paraId="4612ECA1"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78,994</w:t>
            </w:r>
          </w:p>
        </w:tc>
      </w:tr>
      <w:tr w:rsidR="00D56C20" w:rsidRPr="000035FA" w14:paraId="0C763396" w14:textId="77777777" w:rsidTr="00D56C20">
        <w:trPr>
          <w:trHeight w:val="195"/>
        </w:trPr>
        <w:tc>
          <w:tcPr>
            <w:tcW w:w="3606" w:type="dxa"/>
            <w:shd w:val="clear" w:color="auto" w:fill="auto"/>
            <w:noWrap/>
            <w:vAlign w:val="bottom"/>
            <w:hideMark/>
          </w:tcPr>
          <w:p w14:paraId="08286A42"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11811137" w14:textId="77777777" w:rsidR="00D56C20" w:rsidRPr="000035FA" w:rsidRDefault="00D56C20" w:rsidP="002C1CD6">
            <w:pPr>
              <w:spacing w:after="0" w:line="240" w:lineRule="auto"/>
              <w:rPr>
                <w:rFonts w:ascii="Helvetica" w:eastAsia="Times New Roman" w:hAnsi="Helvetica" w:cs="Arial"/>
                <w:sz w:val="20"/>
                <w:szCs w:val="20"/>
              </w:rPr>
            </w:pPr>
          </w:p>
        </w:tc>
        <w:tc>
          <w:tcPr>
            <w:tcW w:w="1107" w:type="dxa"/>
            <w:shd w:val="clear" w:color="auto" w:fill="auto"/>
            <w:noWrap/>
            <w:vAlign w:val="bottom"/>
            <w:hideMark/>
          </w:tcPr>
          <w:p w14:paraId="1F7E170A" w14:textId="77777777" w:rsidR="00D56C20" w:rsidRPr="000035FA" w:rsidRDefault="00D56C20" w:rsidP="002C1CD6">
            <w:pPr>
              <w:spacing w:after="0" w:line="240" w:lineRule="auto"/>
              <w:rPr>
                <w:rFonts w:ascii="Helvetica" w:eastAsia="Times New Roman" w:hAnsi="Helvetica" w:cs="Arial"/>
                <w:sz w:val="20"/>
                <w:szCs w:val="20"/>
              </w:rPr>
            </w:pPr>
          </w:p>
        </w:tc>
        <w:tc>
          <w:tcPr>
            <w:tcW w:w="938" w:type="dxa"/>
            <w:shd w:val="clear" w:color="auto" w:fill="auto"/>
            <w:noWrap/>
            <w:vAlign w:val="bottom"/>
            <w:hideMark/>
          </w:tcPr>
          <w:p w14:paraId="4346ACFB" w14:textId="77777777" w:rsidR="00D56C20" w:rsidRPr="000035FA" w:rsidRDefault="00D56C20" w:rsidP="002C1CD6">
            <w:pPr>
              <w:spacing w:after="0" w:line="240" w:lineRule="auto"/>
              <w:rPr>
                <w:rFonts w:ascii="Helvetica" w:eastAsia="Times New Roman" w:hAnsi="Helvetica" w:cs="Arial"/>
                <w:sz w:val="20"/>
                <w:szCs w:val="20"/>
              </w:rPr>
            </w:pPr>
          </w:p>
        </w:tc>
        <w:tc>
          <w:tcPr>
            <w:tcW w:w="940" w:type="dxa"/>
            <w:shd w:val="clear" w:color="auto" w:fill="auto"/>
            <w:noWrap/>
            <w:vAlign w:val="bottom"/>
            <w:hideMark/>
          </w:tcPr>
          <w:p w14:paraId="0966E491" w14:textId="77777777" w:rsidR="00D56C20" w:rsidRPr="000035FA" w:rsidRDefault="00D56C20" w:rsidP="002C1CD6">
            <w:pPr>
              <w:spacing w:after="0" w:line="240" w:lineRule="auto"/>
              <w:rPr>
                <w:rFonts w:ascii="Helvetica" w:eastAsia="Times New Roman" w:hAnsi="Helvetica" w:cs="Arial"/>
                <w:sz w:val="20"/>
                <w:szCs w:val="20"/>
              </w:rPr>
            </w:pPr>
          </w:p>
        </w:tc>
        <w:tc>
          <w:tcPr>
            <w:tcW w:w="840" w:type="dxa"/>
            <w:shd w:val="clear" w:color="auto" w:fill="auto"/>
            <w:noWrap/>
            <w:vAlign w:val="bottom"/>
            <w:hideMark/>
          </w:tcPr>
          <w:p w14:paraId="4B5B37D0"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0578F5B1" w14:textId="77777777" w:rsidR="00D56C20" w:rsidRPr="000035FA" w:rsidRDefault="00D56C20" w:rsidP="002C1CD6">
            <w:pPr>
              <w:spacing w:after="0" w:line="240" w:lineRule="auto"/>
              <w:rPr>
                <w:rFonts w:ascii="Helvetica" w:eastAsia="Times New Roman" w:hAnsi="Helvetica" w:cs="Arial"/>
                <w:sz w:val="20"/>
                <w:szCs w:val="20"/>
              </w:rPr>
            </w:pPr>
          </w:p>
        </w:tc>
      </w:tr>
      <w:tr w:rsidR="00D56C20" w:rsidRPr="000035FA" w14:paraId="6EA2C72F" w14:textId="77777777" w:rsidTr="00D56C20">
        <w:trPr>
          <w:trHeight w:val="195"/>
        </w:trPr>
        <w:tc>
          <w:tcPr>
            <w:tcW w:w="3606" w:type="dxa"/>
            <w:shd w:val="clear" w:color="auto" w:fill="auto"/>
            <w:noWrap/>
            <w:vAlign w:val="bottom"/>
            <w:hideMark/>
          </w:tcPr>
          <w:p w14:paraId="2DA5C262" w14:textId="77777777" w:rsidR="00D56C20" w:rsidRPr="000035FA" w:rsidRDefault="00D56C20" w:rsidP="002C1CD6">
            <w:pPr>
              <w:spacing w:after="0" w:line="240" w:lineRule="auto"/>
              <w:rPr>
                <w:rFonts w:ascii="Helvetica" w:eastAsia="Times New Roman" w:hAnsi="Helvetica" w:cs="Arial"/>
                <w:sz w:val="20"/>
                <w:szCs w:val="20"/>
              </w:rPr>
            </w:pPr>
            <w:r w:rsidRPr="000035FA">
              <w:rPr>
                <w:rFonts w:ascii="Helvetica" w:eastAsia="Times New Roman" w:hAnsi="Helvetica" w:cs="Arial"/>
                <w:sz w:val="20"/>
                <w:szCs w:val="20"/>
              </w:rPr>
              <w:t>Tenure type not stated</w:t>
            </w:r>
          </w:p>
        </w:tc>
        <w:tc>
          <w:tcPr>
            <w:tcW w:w="928" w:type="dxa"/>
            <w:shd w:val="clear" w:color="auto" w:fill="auto"/>
            <w:noWrap/>
            <w:vAlign w:val="center"/>
            <w:hideMark/>
          </w:tcPr>
          <w:p w14:paraId="4B1EE89E"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143,581</w:t>
            </w:r>
          </w:p>
        </w:tc>
        <w:tc>
          <w:tcPr>
            <w:tcW w:w="1107" w:type="dxa"/>
            <w:shd w:val="clear" w:color="auto" w:fill="auto"/>
            <w:noWrap/>
            <w:vAlign w:val="center"/>
            <w:hideMark/>
          </w:tcPr>
          <w:p w14:paraId="7BCEC605"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34,286</w:t>
            </w:r>
          </w:p>
        </w:tc>
        <w:tc>
          <w:tcPr>
            <w:tcW w:w="938" w:type="dxa"/>
            <w:shd w:val="clear" w:color="auto" w:fill="auto"/>
            <w:noWrap/>
            <w:vAlign w:val="center"/>
            <w:hideMark/>
          </w:tcPr>
          <w:p w14:paraId="468F98BD"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35,593</w:t>
            </w:r>
          </w:p>
        </w:tc>
        <w:tc>
          <w:tcPr>
            <w:tcW w:w="940" w:type="dxa"/>
            <w:shd w:val="clear" w:color="auto" w:fill="auto"/>
            <w:noWrap/>
            <w:vAlign w:val="center"/>
            <w:hideMark/>
          </w:tcPr>
          <w:p w14:paraId="0DE36C4C"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4,880</w:t>
            </w:r>
          </w:p>
        </w:tc>
        <w:tc>
          <w:tcPr>
            <w:tcW w:w="840" w:type="dxa"/>
            <w:shd w:val="clear" w:color="auto" w:fill="auto"/>
            <w:noWrap/>
            <w:vAlign w:val="center"/>
            <w:hideMark/>
          </w:tcPr>
          <w:p w14:paraId="68BE46B8"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6,523</w:t>
            </w:r>
          </w:p>
        </w:tc>
        <w:tc>
          <w:tcPr>
            <w:tcW w:w="928" w:type="dxa"/>
            <w:shd w:val="clear" w:color="auto" w:fill="auto"/>
            <w:noWrap/>
            <w:vAlign w:val="center"/>
            <w:hideMark/>
          </w:tcPr>
          <w:p w14:paraId="66ABFA00" w14:textId="77777777" w:rsidR="00D56C20" w:rsidRPr="000035FA" w:rsidRDefault="00D56C20" w:rsidP="002C1CD6">
            <w:pPr>
              <w:spacing w:after="0" w:line="240" w:lineRule="auto"/>
              <w:jc w:val="right"/>
              <w:rPr>
                <w:rFonts w:ascii="Helvetica" w:eastAsia="Times New Roman" w:hAnsi="Helvetica" w:cs="Arial"/>
                <w:sz w:val="20"/>
                <w:szCs w:val="20"/>
              </w:rPr>
            </w:pPr>
            <w:r w:rsidRPr="000035FA">
              <w:rPr>
                <w:rFonts w:ascii="Helvetica" w:eastAsia="Times New Roman" w:hAnsi="Helvetica" w:cs="Arial"/>
                <w:sz w:val="20"/>
                <w:szCs w:val="20"/>
              </w:rPr>
              <w:t>224,869</w:t>
            </w:r>
          </w:p>
        </w:tc>
      </w:tr>
      <w:tr w:rsidR="00D56C20" w:rsidRPr="000035FA" w14:paraId="13F10D7B" w14:textId="77777777" w:rsidTr="00D56C20">
        <w:trPr>
          <w:trHeight w:val="195"/>
        </w:trPr>
        <w:tc>
          <w:tcPr>
            <w:tcW w:w="3606" w:type="dxa"/>
            <w:shd w:val="clear" w:color="auto" w:fill="auto"/>
            <w:noWrap/>
            <w:vAlign w:val="bottom"/>
            <w:hideMark/>
          </w:tcPr>
          <w:p w14:paraId="75C05992"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6F392DD9" w14:textId="77777777" w:rsidR="00D56C20" w:rsidRPr="000035FA" w:rsidRDefault="00D56C20" w:rsidP="002C1CD6">
            <w:pPr>
              <w:spacing w:after="0" w:line="240" w:lineRule="auto"/>
              <w:rPr>
                <w:rFonts w:ascii="Helvetica" w:eastAsia="Times New Roman" w:hAnsi="Helvetica" w:cs="Arial"/>
                <w:sz w:val="20"/>
                <w:szCs w:val="20"/>
              </w:rPr>
            </w:pPr>
          </w:p>
        </w:tc>
        <w:tc>
          <w:tcPr>
            <w:tcW w:w="1107" w:type="dxa"/>
            <w:shd w:val="clear" w:color="auto" w:fill="auto"/>
            <w:noWrap/>
            <w:vAlign w:val="bottom"/>
            <w:hideMark/>
          </w:tcPr>
          <w:p w14:paraId="7FA0C8C0" w14:textId="77777777" w:rsidR="00D56C20" w:rsidRPr="000035FA" w:rsidRDefault="00D56C20" w:rsidP="002C1CD6">
            <w:pPr>
              <w:spacing w:after="0" w:line="240" w:lineRule="auto"/>
              <w:rPr>
                <w:rFonts w:ascii="Helvetica" w:eastAsia="Times New Roman" w:hAnsi="Helvetica" w:cs="Arial"/>
                <w:sz w:val="20"/>
                <w:szCs w:val="20"/>
              </w:rPr>
            </w:pPr>
          </w:p>
        </w:tc>
        <w:tc>
          <w:tcPr>
            <w:tcW w:w="938" w:type="dxa"/>
            <w:shd w:val="clear" w:color="auto" w:fill="auto"/>
            <w:noWrap/>
            <w:vAlign w:val="bottom"/>
            <w:hideMark/>
          </w:tcPr>
          <w:p w14:paraId="564275BE" w14:textId="77777777" w:rsidR="00D56C20" w:rsidRPr="000035FA" w:rsidRDefault="00D56C20" w:rsidP="002C1CD6">
            <w:pPr>
              <w:spacing w:after="0" w:line="240" w:lineRule="auto"/>
              <w:rPr>
                <w:rFonts w:ascii="Helvetica" w:eastAsia="Times New Roman" w:hAnsi="Helvetica" w:cs="Arial"/>
                <w:sz w:val="20"/>
                <w:szCs w:val="20"/>
              </w:rPr>
            </w:pPr>
          </w:p>
        </w:tc>
        <w:tc>
          <w:tcPr>
            <w:tcW w:w="940" w:type="dxa"/>
            <w:shd w:val="clear" w:color="auto" w:fill="auto"/>
            <w:noWrap/>
            <w:vAlign w:val="bottom"/>
            <w:hideMark/>
          </w:tcPr>
          <w:p w14:paraId="4EABEDF0" w14:textId="77777777" w:rsidR="00D56C20" w:rsidRPr="000035FA" w:rsidRDefault="00D56C20" w:rsidP="002C1CD6">
            <w:pPr>
              <w:spacing w:after="0" w:line="240" w:lineRule="auto"/>
              <w:rPr>
                <w:rFonts w:ascii="Helvetica" w:eastAsia="Times New Roman" w:hAnsi="Helvetica" w:cs="Arial"/>
                <w:sz w:val="20"/>
                <w:szCs w:val="20"/>
              </w:rPr>
            </w:pPr>
          </w:p>
        </w:tc>
        <w:tc>
          <w:tcPr>
            <w:tcW w:w="840" w:type="dxa"/>
            <w:shd w:val="clear" w:color="auto" w:fill="auto"/>
            <w:noWrap/>
            <w:vAlign w:val="bottom"/>
            <w:hideMark/>
          </w:tcPr>
          <w:p w14:paraId="34D3E9F4" w14:textId="77777777" w:rsidR="00D56C20" w:rsidRPr="000035FA" w:rsidRDefault="00D56C20" w:rsidP="002C1CD6">
            <w:pPr>
              <w:spacing w:after="0" w:line="240" w:lineRule="auto"/>
              <w:rPr>
                <w:rFonts w:ascii="Helvetica" w:eastAsia="Times New Roman" w:hAnsi="Helvetica" w:cs="Arial"/>
                <w:sz w:val="20"/>
                <w:szCs w:val="20"/>
              </w:rPr>
            </w:pPr>
          </w:p>
        </w:tc>
        <w:tc>
          <w:tcPr>
            <w:tcW w:w="928" w:type="dxa"/>
            <w:shd w:val="clear" w:color="auto" w:fill="auto"/>
            <w:noWrap/>
            <w:vAlign w:val="bottom"/>
            <w:hideMark/>
          </w:tcPr>
          <w:p w14:paraId="40C30058" w14:textId="77777777" w:rsidR="00D56C20" w:rsidRPr="000035FA" w:rsidRDefault="00D56C20" w:rsidP="002C1CD6">
            <w:pPr>
              <w:spacing w:after="0" w:line="240" w:lineRule="auto"/>
              <w:rPr>
                <w:rFonts w:ascii="Helvetica" w:eastAsia="Times New Roman" w:hAnsi="Helvetica" w:cs="Arial"/>
                <w:sz w:val="20"/>
                <w:szCs w:val="20"/>
              </w:rPr>
            </w:pPr>
          </w:p>
        </w:tc>
      </w:tr>
      <w:tr w:rsidR="00D56C20" w:rsidRPr="000035FA" w14:paraId="7CAD5371" w14:textId="77777777" w:rsidTr="00D56C20">
        <w:trPr>
          <w:trHeight w:val="195"/>
        </w:trPr>
        <w:tc>
          <w:tcPr>
            <w:tcW w:w="3606" w:type="dxa"/>
            <w:shd w:val="clear" w:color="auto" w:fill="auto"/>
            <w:noWrap/>
            <w:vAlign w:val="bottom"/>
            <w:hideMark/>
          </w:tcPr>
          <w:p w14:paraId="219EF589" w14:textId="77777777" w:rsidR="00D56C20" w:rsidRPr="000035FA" w:rsidRDefault="00D56C20" w:rsidP="002C1CD6">
            <w:pPr>
              <w:spacing w:after="0" w:line="240" w:lineRule="auto"/>
              <w:rPr>
                <w:rFonts w:ascii="Helvetica" w:eastAsia="Times New Roman" w:hAnsi="Helvetica" w:cs="Arial"/>
                <w:b/>
                <w:bCs/>
                <w:sz w:val="20"/>
                <w:szCs w:val="20"/>
              </w:rPr>
            </w:pPr>
            <w:r w:rsidRPr="000035FA">
              <w:rPr>
                <w:rFonts w:ascii="Helvetica" w:eastAsia="Times New Roman" w:hAnsi="Helvetica" w:cs="Arial"/>
                <w:b/>
                <w:bCs/>
                <w:sz w:val="20"/>
                <w:szCs w:val="20"/>
              </w:rPr>
              <w:t>Total</w:t>
            </w:r>
          </w:p>
        </w:tc>
        <w:tc>
          <w:tcPr>
            <w:tcW w:w="928" w:type="dxa"/>
            <w:shd w:val="clear" w:color="auto" w:fill="auto"/>
            <w:noWrap/>
            <w:vAlign w:val="center"/>
            <w:hideMark/>
          </w:tcPr>
          <w:p w14:paraId="6A3E580B" w14:textId="77777777" w:rsidR="00D56C20" w:rsidRPr="000035FA" w:rsidRDefault="00D56C20" w:rsidP="002C1CD6">
            <w:pPr>
              <w:spacing w:after="0" w:line="240" w:lineRule="auto"/>
              <w:jc w:val="right"/>
              <w:rPr>
                <w:rFonts w:ascii="Helvetica" w:eastAsia="Times New Roman" w:hAnsi="Helvetica" w:cs="Arial"/>
                <w:b/>
                <w:bCs/>
                <w:sz w:val="20"/>
                <w:szCs w:val="20"/>
              </w:rPr>
            </w:pPr>
            <w:r w:rsidRPr="000035FA">
              <w:rPr>
                <w:rFonts w:ascii="Helvetica" w:eastAsia="Times New Roman" w:hAnsi="Helvetica" w:cs="Arial"/>
                <w:b/>
                <w:bCs/>
                <w:sz w:val="20"/>
                <w:szCs w:val="20"/>
              </w:rPr>
              <w:t>6,041,788</w:t>
            </w:r>
          </w:p>
        </w:tc>
        <w:tc>
          <w:tcPr>
            <w:tcW w:w="1107" w:type="dxa"/>
            <w:shd w:val="clear" w:color="auto" w:fill="auto"/>
            <w:noWrap/>
            <w:vAlign w:val="center"/>
            <w:hideMark/>
          </w:tcPr>
          <w:p w14:paraId="74C47E93" w14:textId="77777777" w:rsidR="00D56C20" w:rsidRPr="000035FA" w:rsidRDefault="00D56C20" w:rsidP="002C1CD6">
            <w:pPr>
              <w:spacing w:after="0" w:line="240" w:lineRule="auto"/>
              <w:jc w:val="right"/>
              <w:rPr>
                <w:rFonts w:ascii="Helvetica" w:eastAsia="Times New Roman" w:hAnsi="Helvetica" w:cs="Arial"/>
                <w:b/>
                <w:bCs/>
                <w:sz w:val="20"/>
                <w:szCs w:val="20"/>
              </w:rPr>
            </w:pPr>
            <w:r w:rsidRPr="000035FA">
              <w:rPr>
                <w:rFonts w:ascii="Helvetica" w:eastAsia="Times New Roman" w:hAnsi="Helvetica" w:cs="Arial"/>
                <w:b/>
                <w:bCs/>
                <w:sz w:val="20"/>
                <w:szCs w:val="20"/>
              </w:rPr>
              <w:t>1,055,015</w:t>
            </w:r>
          </w:p>
        </w:tc>
        <w:tc>
          <w:tcPr>
            <w:tcW w:w="938" w:type="dxa"/>
            <w:shd w:val="clear" w:color="auto" w:fill="auto"/>
            <w:noWrap/>
            <w:vAlign w:val="center"/>
            <w:hideMark/>
          </w:tcPr>
          <w:p w14:paraId="3138D2C7" w14:textId="77777777" w:rsidR="00D56C20" w:rsidRPr="000035FA" w:rsidRDefault="00D56C20" w:rsidP="002C1CD6">
            <w:pPr>
              <w:spacing w:after="0" w:line="240" w:lineRule="auto"/>
              <w:jc w:val="right"/>
              <w:rPr>
                <w:rFonts w:ascii="Helvetica" w:eastAsia="Times New Roman" w:hAnsi="Helvetica" w:cs="Arial"/>
                <w:b/>
                <w:bCs/>
                <w:sz w:val="20"/>
                <w:szCs w:val="20"/>
              </w:rPr>
            </w:pPr>
            <w:r w:rsidRPr="000035FA">
              <w:rPr>
                <w:rFonts w:ascii="Helvetica" w:eastAsia="Times New Roman" w:hAnsi="Helvetica" w:cs="Arial"/>
                <w:b/>
                <w:bCs/>
                <w:sz w:val="20"/>
                <w:szCs w:val="20"/>
              </w:rPr>
              <w:t>1,087,445</w:t>
            </w:r>
          </w:p>
        </w:tc>
        <w:tc>
          <w:tcPr>
            <w:tcW w:w="940" w:type="dxa"/>
            <w:shd w:val="clear" w:color="auto" w:fill="auto"/>
            <w:noWrap/>
            <w:vAlign w:val="center"/>
            <w:hideMark/>
          </w:tcPr>
          <w:p w14:paraId="6BFADC0E" w14:textId="77777777" w:rsidR="00D56C20" w:rsidRPr="000035FA" w:rsidRDefault="00D56C20" w:rsidP="002C1CD6">
            <w:pPr>
              <w:spacing w:after="0" w:line="240" w:lineRule="auto"/>
              <w:jc w:val="right"/>
              <w:rPr>
                <w:rFonts w:ascii="Helvetica" w:eastAsia="Times New Roman" w:hAnsi="Helvetica" w:cs="Arial"/>
                <w:b/>
                <w:bCs/>
                <w:sz w:val="20"/>
                <w:szCs w:val="20"/>
              </w:rPr>
            </w:pPr>
            <w:r w:rsidRPr="000035FA">
              <w:rPr>
                <w:rFonts w:ascii="Helvetica" w:eastAsia="Times New Roman" w:hAnsi="Helvetica" w:cs="Arial"/>
                <w:b/>
                <w:bCs/>
                <w:sz w:val="20"/>
                <w:szCs w:val="20"/>
              </w:rPr>
              <w:t>64,422</w:t>
            </w:r>
          </w:p>
        </w:tc>
        <w:tc>
          <w:tcPr>
            <w:tcW w:w="840" w:type="dxa"/>
            <w:shd w:val="clear" w:color="auto" w:fill="auto"/>
            <w:noWrap/>
            <w:vAlign w:val="center"/>
            <w:hideMark/>
          </w:tcPr>
          <w:p w14:paraId="11D8F508" w14:textId="77777777" w:rsidR="00D56C20" w:rsidRPr="000035FA" w:rsidRDefault="00D56C20" w:rsidP="002C1CD6">
            <w:pPr>
              <w:spacing w:after="0" w:line="240" w:lineRule="auto"/>
              <w:jc w:val="right"/>
              <w:rPr>
                <w:rFonts w:ascii="Helvetica" w:eastAsia="Times New Roman" w:hAnsi="Helvetica" w:cs="Arial"/>
                <w:b/>
                <w:bCs/>
                <w:sz w:val="20"/>
                <w:szCs w:val="20"/>
              </w:rPr>
            </w:pPr>
            <w:r w:rsidRPr="000035FA">
              <w:rPr>
                <w:rFonts w:ascii="Helvetica" w:eastAsia="Times New Roman" w:hAnsi="Helvetica" w:cs="Arial"/>
                <w:b/>
                <w:bCs/>
                <w:sz w:val="20"/>
                <w:szCs w:val="20"/>
              </w:rPr>
              <w:t>37,410</w:t>
            </w:r>
          </w:p>
        </w:tc>
        <w:tc>
          <w:tcPr>
            <w:tcW w:w="928" w:type="dxa"/>
            <w:shd w:val="clear" w:color="auto" w:fill="auto"/>
            <w:noWrap/>
            <w:vAlign w:val="center"/>
            <w:hideMark/>
          </w:tcPr>
          <w:p w14:paraId="4B3CF5C5" w14:textId="77777777" w:rsidR="00D56C20" w:rsidRPr="000035FA" w:rsidRDefault="00D56C20" w:rsidP="002C1CD6">
            <w:pPr>
              <w:spacing w:after="0" w:line="240" w:lineRule="auto"/>
              <w:jc w:val="right"/>
              <w:rPr>
                <w:rFonts w:ascii="Helvetica" w:eastAsia="Times New Roman" w:hAnsi="Helvetica" w:cs="Arial"/>
                <w:b/>
                <w:bCs/>
                <w:sz w:val="20"/>
                <w:szCs w:val="20"/>
              </w:rPr>
            </w:pPr>
            <w:r w:rsidRPr="000035FA">
              <w:rPr>
                <w:rFonts w:ascii="Helvetica" w:eastAsia="Times New Roman" w:hAnsi="Helvetica" w:cs="Arial"/>
                <w:b/>
                <w:bCs/>
                <w:sz w:val="20"/>
                <w:szCs w:val="20"/>
              </w:rPr>
              <w:t>8,286,077</w:t>
            </w:r>
          </w:p>
        </w:tc>
      </w:tr>
    </w:tbl>
    <w:p w14:paraId="2066FDD4" w14:textId="77777777" w:rsidR="00F73B59" w:rsidRPr="000035FA" w:rsidRDefault="00D56C20">
      <w:pPr>
        <w:rPr>
          <w:rFonts w:ascii="Helvetica" w:hAnsi="Helvetica"/>
          <w:i/>
          <w:sz w:val="18"/>
        </w:rPr>
      </w:pPr>
      <w:r w:rsidRPr="000035FA">
        <w:rPr>
          <w:rFonts w:ascii="Helvetica" w:hAnsi="Helvetica"/>
          <w:i/>
          <w:sz w:val="18"/>
        </w:rPr>
        <w:t>Source: ABS, 2016 Census Data.</w:t>
      </w:r>
    </w:p>
    <w:sectPr w:rsidR="00F73B59" w:rsidRPr="000035FA" w:rsidSect="002D6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23089"/>
    <w:multiLevelType w:val="hybridMultilevel"/>
    <w:tmpl w:val="8090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9C"/>
    <w:rsid w:val="000020EA"/>
    <w:rsid w:val="000035FA"/>
    <w:rsid w:val="00022D85"/>
    <w:rsid w:val="000621A8"/>
    <w:rsid w:val="000B15F2"/>
    <w:rsid w:val="000D1E17"/>
    <w:rsid w:val="001041E6"/>
    <w:rsid w:val="001167AF"/>
    <w:rsid w:val="001E2642"/>
    <w:rsid w:val="001E4A1C"/>
    <w:rsid w:val="002A5ABD"/>
    <w:rsid w:val="002B54D9"/>
    <w:rsid w:val="002C1CD6"/>
    <w:rsid w:val="002D6213"/>
    <w:rsid w:val="00371D9C"/>
    <w:rsid w:val="003E5D19"/>
    <w:rsid w:val="003F637C"/>
    <w:rsid w:val="00586D05"/>
    <w:rsid w:val="00652E97"/>
    <w:rsid w:val="006F5ABD"/>
    <w:rsid w:val="007032F7"/>
    <w:rsid w:val="0082152A"/>
    <w:rsid w:val="00886D6B"/>
    <w:rsid w:val="008A7FB0"/>
    <w:rsid w:val="008B0308"/>
    <w:rsid w:val="008B66E0"/>
    <w:rsid w:val="00953887"/>
    <w:rsid w:val="0095517F"/>
    <w:rsid w:val="00985E10"/>
    <w:rsid w:val="009E46D0"/>
    <w:rsid w:val="00A10017"/>
    <w:rsid w:val="00A8680C"/>
    <w:rsid w:val="00B723CA"/>
    <w:rsid w:val="00BA687D"/>
    <w:rsid w:val="00C04022"/>
    <w:rsid w:val="00C14723"/>
    <w:rsid w:val="00C34DC9"/>
    <w:rsid w:val="00C723E0"/>
    <w:rsid w:val="00CB6727"/>
    <w:rsid w:val="00CF68ED"/>
    <w:rsid w:val="00D56C20"/>
    <w:rsid w:val="00D7493D"/>
    <w:rsid w:val="00D86688"/>
    <w:rsid w:val="00E7582B"/>
    <w:rsid w:val="00E963DB"/>
    <w:rsid w:val="00EE0045"/>
    <w:rsid w:val="00F63641"/>
    <w:rsid w:val="00F706B2"/>
    <w:rsid w:val="00F73B59"/>
    <w:rsid w:val="00F873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13"/>
  </w:style>
  <w:style w:type="paragraph" w:styleId="Heading3">
    <w:name w:val="heading 3"/>
    <w:basedOn w:val="Normal"/>
    <w:next w:val="Normal"/>
    <w:link w:val="Heading3Char"/>
    <w:uiPriority w:val="9"/>
    <w:semiHidden/>
    <w:unhideWhenUsed/>
    <w:qFormat/>
    <w:rsid w:val="00C14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E17"/>
    <w:rPr>
      <w:color w:val="0000FF"/>
      <w:u w:val="single"/>
    </w:rPr>
  </w:style>
  <w:style w:type="table" w:styleId="TableGrid">
    <w:name w:val="Table Grid"/>
    <w:basedOn w:val="TableNormal"/>
    <w:uiPriority w:val="59"/>
    <w:rsid w:val="0010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4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4D9"/>
    <w:rPr>
      <w:rFonts w:ascii="Lucida Grande" w:hAnsi="Lucida Grande" w:cs="Lucida Grande"/>
      <w:sz w:val="18"/>
      <w:szCs w:val="18"/>
    </w:rPr>
  </w:style>
  <w:style w:type="paragraph" w:styleId="ListParagraph">
    <w:name w:val="List Paragraph"/>
    <w:basedOn w:val="Normal"/>
    <w:uiPriority w:val="34"/>
    <w:qFormat/>
    <w:rsid w:val="001E4A1C"/>
    <w:pPr>
      <w:ind w:left="720"/>
      <w:contextualSpacing/>
    </w:pPr>
  </w:style>
  <w:style w:type="paragraph" w:customStyle="1" w:styleId="Normal1">
    <w:name w:val="Normal1"/>
    <w:rsid w:val="00F73B59"/>
    <w:pPr>
      <w:pBdr>
        <w:top w:val="nil"/>
        <w:left w:val="nil"/>
        <w:bottom w:val="nil"/>
        <w:right w:val="nil"/>
        <w:between w:val="nil"/>
      </w:pBdr>
      <w:spacing w:after="160" w:line="259" w:lineRule="auto"/>
    </w:pPr>
    <w:rPr>
      <w:rFonts w:ascii="Cambria" w:eastAsia="Cambria" w:hAnsi="Cambria" w:cs="Cambria"/>
      <w:color w:val="000000"/>
    </w:rPr>
  </w:style>
  <w:style w:type="character" w:customStyle="1" w:styleId="Heading3Char">
    <w:name w:val="Heading 3 Char"/>
    <w:basedOn w:val="DefaultParagraphFont"/>
    <w:link w:val="Heading3"/>
    <w:uiPriority w:val="9"/>
    <w:semiHidden/>
    <w:rsid w:val="00C1472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035FA"/>
    <w:rPr>
      <w:color w:val="800080" w:themeColor="followedHyperlink"/>
      <w:u w:val="single"/>
    </w:rPr>
  </w:style>
  <w:style w:type="character" w:styleId="CommentReference">
    <w:name w:val="annotation reference"/>
    <w:basedOn w:val="DefaultParagraphFont"/>
    <w:uiPriority w:val="99"/>
    <w:semiHidden/>
    <w:unhideWhenUsed/>
    <w:rsid w:val="00886D6B"/>
    <w:rPr>
      <w:sz w:val="16"/>
      <w:szCs w:val="16"/>
    </w:rPr>
  </w:style>
  <w:style w:type="paragraph" w:styleId="CommentText">
    <w:name w:val="annotation text"/>
    <w:basedOn w:val="Normal"/>
    <w:link w:val="CommentTextChar"/>
    <w:uiPriority w:val="99"/>
    <w:semiHidden/>
    <w:unhideWhenUsed/>
    <w:rsid w:val="00886D6B"/>
    <w:pPr>
      <w:spacing w:line="240" w:lineRule="auto"/>
    </w:pPr>
    <w:rPr>
      <w:sz w:val="20"/>
      <w:szCs w:val="20"/>
    </w:rPr>
  </w:style>
  <w:style w:type="character" w:customStyle="1" w:styleId="CommentTextChar">
    <w:name w:val="Comment Text Char"/>
    <w:basedOn w:val="DefaultParagraphFont"/>
    <w:link w:val="CommentText"/>
    <w:uiPriority w:val="99"/>
    <w:semiHidden/>
    <w:rsid w:val="00886D6B"/>
    <w:rPr>
      <w:sz w:val="20"/>
      <w:szCs w:val="20"/>
    </w:rPr>
  </w:style>
  <w:style w:type="paragraph" w:styleId="CommentSubject">
    <w:name w:val="annotation subject"/>
    <w:basedOn w:val="CommentText"/>
    <w:next w:val="CommentText"/>
    <w:link w:val="CommentSubjectChar"/>
    <w:uiPriority w:val="99"/>
    <w:semiHidden/>
    <w:unhideWhenUsed/>
    <w:rsid w:val="00886D6B"/>
    <w:rPr>
      <w:b/>
      <w:bCs/>
    </w:rPr>
  </w:style>
  <w:style w:type="character" w:customStyle="1" w:styleId="CommentSubjectChar">
    <w:name w:val="Comment Subject Char"/>
    <w:basedOn w:val="CommentTextChar"/>
    <w:link w:val="CommentSubject"/>
    <w:uiPriority w:val="99"/>
    <w:semiHidden/>
    <w:rsid w:val="00886D6B"/>
    <w:rPr>
      <w:b/>
      <w:bCs/>
      <w:sz w:val="20"/>
      <w:szCs w:val="20"/>
    </w:rPr>
  </w:style>
  <w:style w:type="paragraph" w:styleId="Revision">
    <w:name w:val="Revision"/>
    <w:hidden/>
    <w:uiPriority w:val="99"/>
    <w:semiHidden/>
    <w:rsid w:val="000621A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13"/>
  </w:style>
  <w:style w:type="paragraph" w:styleId="Heading3">
    <w:name w:val="heading 3"/>
    <w:basedOn w:val="Normal"/>
    <w:next w:val="Normal"/>
    <w:link w:val="Heading3Char"/>
    <w:uiPriority w:val="9"/>
    <w:semiHidden/>
    <w:unhideWhenUsed/>
    <w:qFormat/>
    <w:rsid w:val="00C14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E17"/>
    <w:rPr>
      <w:color w:val="0000FF"/>
      <w:u w:val="single"/>
    </w:rPr>
  </w:style>
  <w:style w:type="table" w:styleId="TableGrid">
    <w:name w:val="Table Grid"/>
    <w:basedOn w:val="TableNormal"/>
    <w:uiPriority w:val="59"/>
    <w:rsid w:val="0010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4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4D9"/>
    <w:rPr>
      <w:rFonts w:ascii="Lucida Grande" w:hAnsi="Lucida Grande" w:cs="Lucida Grande"/>
      <w:sz w:val="18"/>
      <w:szCs w:val="18"/>
    </w:rPr>
  </w:style>
  <w:style w:type="paragraph" w:styleId="ListParagraph">
    <w:name w:val="List Paragraph"/>
    <w:basedOn w:val="Normal"/>
    <w:uiPriority w:val="34"/>
    <w:qFormat/>
    <w:rsid w:val="001E4A1C"/>
    <w:pPr>
      <w:ind w:left="720"/>
      <w:contextualSpacing/>
    </w:pPr>
  </w:style>
  <w:style w:type="paragraph" w:customStyle="1" w:styleId="Normal1">
    <w:name w:val="Normal1"/>
    <w:rsid w:val="00F73B59"/>
    <w:pPr>
      <w:pBdr>
        <w:top w:val="nil"/>
        <w:left w:val="nil"/>
        <w:bottom w:val="nil"/>
        <w:right w:val="nil"/>
        <w:between w:val="nil"/>
      </w:pBdr>
      <w:spacing w:after="160" w:line="259" w:lineRule="auto"/>
    </w:pPr>
    <w:rPr>
      <w:rFonts w:ascii="Cambria" w:eastAsia="Cambria" w:hAnsi="Cambria" w:cs="Cambria"/>
      <w:color w:val="000000"/>
    </w:rPr>
  </w:style>
  <w:style w:type="character" w:customStyle="1" w:styleId="Heading3Char">
    <w:name w:val="Heading 3 Char"/>
    <w:basedOn w:val="DefaultParagraphFont"/>
    <w:link w:val="Heading3"/>
    <w:uiPriority w:val="9"/>
    <w:semiHidden/>
    <w:rsid w:val="00C1472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035FA"/>
    <w:rPr>
      <w:color w:val="800080" w:themeColor="followedHyperlink"/>
      <w:u w:val="single"/>
    </w:rPr>
  </w:style>
  <w:style w:type="character" w:styleId="CommentReference">
    <w:name w:val="annotation reference"/>
    <w:basedOn w:val="DefaultParagraphFont"/>
    <w:uiPriority w:val="99"/>
    <w:semiHidden/>
    <w:unhideWhenUsed/>
    <w:rsid w:val="00886D6B"/>
    <w:rPr>
      <w:sz w:val="16"/>
      <w:szCs w:val="16"/>
    </w:rPr>
  </w:style>
  <w:style w:type="paragraph" w:styleId="CommentText">
    <w:name w:val="annotation text"/>
    <w:basedOn w:val="Normal"/>
    <w:link w:val="CommentTextChar"/>
    <w:uiPriority w:val="99"/>
    <w:semiHidden/>
    <w:unhideWhenUsed/>
    <w:rsid w:val="00886D6B"/>
    <w:pPr>
      <w:spacing w:line="240" w:lineRule="auto"/>
    </w:pPr>
    <w:rPr>
      <w:sz w:val="20"/>
      <w:szCs w:val="20"/>
    </w:rPr>
  </w:style>
  <w:style w:type="character" w:customStyle="1" w:styleId="CommentTextChar">
    <w:name w:val="Comment Text Char"/>
    <w:basedOn w:val="DefaultParagraphFont"/>
    <w:link w:val="CommentText"/>
    <w:uiPriority w:val="99"/>
    <w:semiHidden/>
    <w:rsid w:val="00886D6B"/>
    <w:rPr>
      <w:sz w:val="20"/>
      <w:szCs w:val="20"/>
    </w:rPr>
  </w:style>
  <w:style w:type="paragraph" w:styleId="CommentSubject">
    <w:name w:val="annotation subject"/>
    <w:basedOn w:val="CommentText"/>
    <w:next w:val="CommentText"/>
    <w:link w:val="CommentSubjectChar"/>
    <w:uiPriority w:val="99"/>
    <w:semiHidden/>
    <w:unhideWhenUsed/>
    <w:rsid w:val="00886D6B"/>
    <w:rPr>
      <w:b/>
      <w:bCs/>
    </w:rPr>
  </w:style>
  <w:style w:type="character" w:customStyle="1" w:styleId="CommentSubjectChar">
    <w:name w:val="Comment Subject Char"/>
    <w:basedOn w:val="CommentTextChar"/>
    <w:link w:val="CommentSubject"/>
    <w:uiPriority w:val="99"/>
    <w:semiHidden/>
    <w:rsid w:val="00886D6B"/>
    <w:rPr>
      <w:b/>
      <w:bCs/>
      <w:sz w:val="20"/>
      <w:szCs w:val="20"/>
    </w:rPr>
  </w:style>
  <w:style w:type="paragraph" w:styleId="Revision">
    <w:name w:val="Revision"/>
    <w:hidden/>
    <w:uiPriority w:val="99"/>
    <w:semiHidden/>
    <w:rsid w:val="00062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
      <w:bodyDiv w:val="1"/>
      <w:marLeft w:val="0"/>
      <w:marRight w:val="0"/>
      <w:marTop w:val="0"/>
      <w:marBottom w:val="0"/>
      <w:divBdr>
        <w:top w:val="none" w:sz="0" w:space="0" w:color="auto"/>
        <w:left w:val="none" w:sz="0" w:space="0" w:color="auto"/>
        <w:bottom w:val="none" w:sz="0" w:space="0" w:color="auto"/>
        <w:right w:val="none" w:sz="0" w:space="0" w:color="auto"/>
      </w:divBdr>
    </w:div>
    <w:div w:id="78333701">
      <w:bodyDiv w:val="1"/>
      <w:marLeft w:val="0"/>
      <w:marRight w:val="0"/>
      <w:marTop w:val="0"/>
      <w:marBottom w:val="0"/>
      <w:divBdr>
        <w:top w:val="none" w:sz="0" w:space="0" w:color="auto"/>
        <w:left w:val="none" w:sz="0" w:space="0" w:color="auto"/>
        <w:bottom w:val="none" w:sz="0" w:space="0" w:color="auto"/>
        <w:right w:val="none" w:sz="0" w:space="0" w:color="auto"/>
      </w:divBdr>
    </w:div>
    <w:div w:id="155806716">
      <w:bodyDiv w:val="1"/>
      <w:marLeft w:val="0"/>
      <w:marRight w:val="0"/>
      <w:marTop w:val="0"/>
      <w:marBottom w:val="0"/>
      <w:divBdr>
        <w:top w:val="none" w:sz="0" w:space="0" w:color="auto"/>
        <w:left w:val="none" w:sz="0" w:space="0" w:color="auto"/>
        <w:bottom w:val="none" w:sz="0" w:space="0" w:color="auto"/>
        <w:right w:val="none" w:sz="0" w:space="0" w:color="auto"/>
      </w:divBdr>
    </w:div>
    <w:div w:id="370805303">
      <w:bodyDiv w:val="1"/>
      <w:marLeft w:val="0"/>
      <w:marRight w:val="0"/>
      <w:marTop w:val="0"/>
      <w:marBottom w:val="0"/>
      <w:divBdr>
        <w:top w:val="none" w:sz="0" w:space="0" w:color="auto"/>
        <w:left w:val="none" w:sz="0" w:space="0" w:color="auto"/>
        <w:bottom w:val="none" w:sz="0" w:space="0" w:color="auto"/>
        <w:right w:val="none" w:sz="0" w:space="0" w:color="auto"/>
      </w:divBdr>
    </w:div>
    <w:div w:id="446047592">
      <w:bodyDiv w:val="1"/>
      <w:marLeft w:val="0"/>
      <w:marRight w:val="0"/>
      <w:marTop w:val="0"/>
      <w:marBottom w:val="0"/>
      <w:divBdr>
        <w:top w:val="none" w:sz="0" w:space="0" w:color="auto"/>
        <w:left w:val="none" w:sz="0" w:space="0" w:color="auto"/>
        <w:bottom w:val="none" w:sz="0" w:space="0" w:color="auto"/>
        <w:right w:val="none" w:sz="0" w:space="0" w:color="auto"/>
      </w:divBdr>
    </w:div>
    <w:div w:id="1072968267">
      <w:bodyDiv w:val="1"/>
      <w:marLeft w:val="0"/>
      <w:marRight w:val="0"/>
      <w:marTop w:val="0"/>
      <w:marBottom w:val="0"/>
      <w:divBdr>
        <w:top w:val="none" w:sz="0" w:space="0" w:color="auto"/>
        <w:left w:val="none" w:sz="0" w:space="0" w:color="auto"/>
        <w:bottom w:val="none" w:sz="0" w:space="0" w:color="auto"/>
        <w:right w:val="none" w:sz="0" w:space="0" w:color="auto"/>
      </w:divBdr>
    </w:div>
    <w:div w:id="12740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fevalues.com.au/own-it/" TargetMode="External"/><Relationship Id="rId20" Type="http://schemas.openxmlformats.org/officeDocument/2006/relationships/theme" Target="theme/theme1.xml"/><Relationship Id="rId10" Type="http://schemas.openxmlformats.org/officeDocument/2006/relationships/hyperlink" Target="http://www.lifevalues.com.au" TargetMode="External"/><Relationship Id="rId11" Type="http://schemas.openxmlformats.org/officeDocument/2006/relationships/hyperlink" Target="https://auth.censusdata.abs.gov.au/webapi/jsf/tableView/tableView.xhtml" TargetMode="External"/><Relationship Id="rId12" Type="http://schemas.openxmlformats.org/officeDocument/2006/relationships/hyperlink" Target="https://auth.censusdata.abs.gov.au/webapi/jsf/tableView/tableView.xhtml" TargetMode="External"/><Relationship Id="rId13" Type="http://schemas.openxmlformats.org/officeDocument/2006/relationships/hyperlink" Target="https://auth.censusdata.abs.gov.au/webapi/jsf/tableView/tableView.xhtml" TargetMode="External"/><Relationship Id="rId14" Type="http://schemas.openxmlformats.org/officeDocument/2006/relationships/hyperlink" Target="https://auth.censusdata.abs.gov.au/webapi/jsf/tableView/tableView.xhtml" TargetMode="External"/><Relationship Id="rId15" Type="http://schemas.openxmlformats.org/officeDocument/2006/relationships/hyperlink" Target="https://auth.censusdata.abs.gov.au/webapi/jsf/tableView/tableView.xhtml" TargetMode="External"/><Relationship Id="rId16" Type="http://schemas.openxmlformats.org/officeDocument/2006/relationships/hyperlink" Target="https://auth.censusdata.abs.gov.au/webapi/jsf/tableView/tableView.xhtml" TargetMode="External"/><Relationship Id="rId17" Type="http://schemas.openxmlformats.org/officeDocument/2006/relationships/hyperlink" Target="https://auth.censusdata.abs.gov.au/webapi/jsf/tableView/tableView.xhtml" TargetMode="External"/><Relationship Id="rId18" Type="http://schemas.openxmlformats.org/officeDocument/2006/relationships/hyperlink" Target="https://auth.censusdata.abs.gov.au/webapi/jsf/tableView/tableView.x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delance@reputationaustralia.com.au" TargetMode="External"/><Relationship Id="rId7" Type="http://schemas.openxmlformats.org/officeDocument/2006/relationships/hyperlink" Target="http://bit.ly/CensusLGAbyTenure" TargetMode="External"/><Relationship Id="rId8" Type="http://schemas.openxmlformats.org/officeDocument/2006/relationships/hyperlink" Target="http://www.lifevalues.com.au/the-real-home-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1841</Words>
  <Characters>10500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Stieve De Lance</cp:lastModifiedBy>
  <cp:revision>3</cp:revision>
  <cp:lastPrinted>2017-07-24T05:26:00Z</cp:lastPrinted>
  <dcterms:created xsi:type="dcterms:W3CDTF">2017-07-24T05:26:00Z</dcterms:created>
  <dcterms:modified xsi:type="dcterms:W3CDTF">2017-07-24T05:45:00Z</dcterms:modified>
</cp:coreProperties>
</file>