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  Press Release |  </w:t>
      </w:r>
    </w:p>
    <w:p w:rsidR="00000000" w:rsidDel="00000000" w:rsidP="00000000" w:rsidRDefault="00000000" w:rsidRPr="00000000" w14:paraId="00000001">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2">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 Immediate Release </w:t>
      </w:r>
      <w:r w:rsidDel="00000000" w:rsidR="00000000" w:rsidRPr="00000000">
        <w:rPr>
          <w:rFonts w:ascii="Arial" w:cs="Arial" w:eastAsia="Arial" w:hAnsi="Arial"/>
          <w:sz w:val="22"/>
          <w:szCs w:val="22"/>
          <w:rtl w:val="0"/>
        </w:rPr>
        <w:tab/>
        <w:tab/>
        <w:tab/>
        <w:tab/>
        <w:t xml:space="preserve">Contact</w:t>
        <w:tab/>
        <w:t xml:space="preserve">: Dennis Silvers</w:t>
      </w:r>
    </w:p>
    <w:p w:rsidR="00000000" w:rsidDel="00000000" w:rsidP="00000000" w:rsidRDefault="00000000" w:rsidRPr="00000000" w14:paraId="00000003">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Phone</w:t>
        <w:tab/>
        <w:tab/>
        <w:t xml:space="preserve">: +61 412 404993</w:t>
      </w:r>
    </w:p>
    <w:p w:rsidR="00000000" w:rsidDel="00000000" w:rsidP="00000000" w:rsidRDefault="00000000" w:rsidRPr="00000000" w14:paraId="00000004">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eMail</w:t>
        <w:tab/>
        <w:tab/>
        <w:t xml:space="preserve">: dsilvers@claydata.com</w:t>
      </w:r>
    </w:p>
    <w:p w:rsidR="00000000" w:rsidDel="00000000" w:rsidP="00000000" w:rsidRDefault="00000000" w:rsidRPr="00000000" w14:paraId="00000005">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6">
      <w:pPr>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7">
      <w:pPr>
        <w:contextualSpacing w:val="0"/>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Open Platform Software Set to Disrupt Healthcare Industry</w:t>
      </w: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Millions of lines of code on offer...</w:t>
      </w:r>
    </w:p>
    <w:p w:rsidR="00000000" w:rsidDel="00000000" w:rsidP="00000000" w:rsidRDefault="00000000" w:rsidRPr="00000000" w14:paraId="0000000A">
      <w:pPr>
        <w:contextualSpacing w:val="0"/>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Fonts w:ascii="Calibri" w:cs="Calibri" w:eastAsia="Calibri" w:hAnsi="Calibri"/>
          <w:rtl w:val="0"/>
        </w:rPr>
        <w:t xml:space="preserve">The health industry is never one to shy away from innovation. As an industry first for Australia, </w:t>
      </w:r>
      <w:r w:rsidDel="00000000" w:rsidR="00000000" w:rsidRPr="00000000">
        <w:rPr>
          <w:rFonts w:ascii="Calibri" w:cs="Calibri" w:eastAsia="Calibri" w:hAnsi="Calibri"/>
          <w:highlight w:val="white"/>
          <w:rtl w:val="0"/>
        </w:rPr>
        <w:t xml:space="preserve">Claydata is breaking the platform barrier by offering </w:t>
      </w:r>
      <w:r w:rsidDel="00000000" w:rsidR="00000000" w:rsidRPr="00000000">
        <w:rPr>
          <w:rFonts w:ascii="Calibri" w:cs="Calibri" w:eastAsia="Calibri" w:hAnsi="Calibri"/>
          <w:rtl w:val="0"/>
        </w:rPr>
        <w:t xml:space="preserve">its</w:t>
      </w:r>
      <w:r w:rsidDel="00000000" w:rsidR="00000000" w:rsidRPr="00000000">
        <w:rPr>
          <w:rFonts w:ascii="Calibri" w:cs="Calibri" w:eastAsia="Calibri" w:hAnsi="Calibri"/>
          <w:highlight w:val="white"/>
          <w:rtl w:val="0"/>
        </w:rPr>
        <w:t xml:space="preserve"> millions of lines of code through a unique open </w:t>
      </w:r>
      <w:r w:rsidDel="00000000" w:rsidR="00000000" w:rsidRPr="00000000">
        <w:rPr>
          <w:rFonts w:ascii="Calibri" w:cs="Calibri" w:eastAsia="Calibri" w:hAnsi="Calibri"/>
          <w:rtl w:val="0"/>
        </w:rPr>
        <w:t xml:space="preserve">platform licencing model. This</w:t>
      </w:r>
      <w:r w:rsidDel="00000000" w:rsidR="00000000" w:rsidRPr="00000000">
        <w:rPr>
          <w:rFonts w:ascii="Calibri" w:cs="Calibri" w:eastAsia="Calibri" w:hAnsi="Calibri"/>
          <w:highlight w:val="white"/>
          <w:rtl w:val="0"/>
        </w:rPr>
        <w:t xml:space="preserve"> is a game changer for healthcare software; it means organisations can gain absolute control of their own application and host it within their own private cloud. Because </w:t>
      </w:r>
      <w:r w:rsidDel="00000000" w:rsidR="00000000" w:rsidRPr="00000000">
        <w:rPr>
          <w:rFonts w:ascii="Calibri" w:cs="Calibri" w:eastAsia="Calibri" w:hAnsi="Calibri"/>
          <w:rtl w:val="0"/>
        </w:rPr>
        <w:t xml:space="preserve">iTWorkS(integrated Technology Workflow System)</w:t>
      </w:r>
      <w:r w:rsidDel="00000000" w:rsidR="00000000" w:rsidRPr="00000000">
        <w:rPr>
          <w:rFonts w:ascii="Calibri" w:cs="Calibri" w:eastAsia="Calibri" w:hAnsi="Calibri"/>
          <w:highlight w:val="white"/>
          <w:rtl w:val="0"/>
        </w:rPr>
        <w:t xml:space="preserve"> is an open platform application, its licensees have the power to make changes to the application and tailor it to the specific needs of their organisation.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Claydata is currently roll</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color w:val="000000"/>
          <w:rtl w:val="0"/>
        </w:rPr>
        <w:t xml:space="preserve"> out the iTWorkS integrated practice management system with </w:t>
      </w:r>
      <w:r w:rsidDel="00000000" w:rsidR="00000000" w:rsidRPr="00000000">
        <w:rPr>
          <w:rFonts w:ascii="Calibri" w:cs="Calibri" w:eastAsia="Calibri" w:hAnsi="Calibri"/>
          <w:rtl w:val="0"/>
        </w:rPr>
        <w:t xml:space="preserve">Australia's leading </w:t>
      </w:r>
      <w:r w:rsidDel="00000000" w:rsidR="00000000" w:rsidRPr="00000000">
        <w:rPr>
          <w:rFonts w:ascii="Calibri" w:cs="Calibri" w:eastAsia="Calibri" w:hAnsi="Calibri"/>
          <w:color w:val="000000"/>
          <w:rtl w:val="0"/>
        </w:rPr>
        <w:t xml:space="preserve">cardiac health provider. The </w:t>
      </w:r>
      <w:r w:rsidDel="00000000" w:rsidR="00000000" w:rsidRPr="00000000">
        <w:rPr>
          <w:rFonts w:ascii="Calibri" w:cs="Calibri" w:eastAsia="Calibri" w:hAnsi="Calibri"/>
          <w:rtl w:val="0"/>
        </w:rPr>
        <w:t xml:space="preserve">aim</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is </w:t>
      </w:r>
      <w:r w:rsidDel="00000000" w:rsidR="00000000" w:rsidRPr="00000000">
        <w:rPr>
          <w:rFonts w:ascii="Calibri" w:cs="Calibri" w:eastAsia="Calibri" w:hAnsi="Calibri"/>
          <w:color w:val="000000"/>
          <w:rtl w:val="0"/>
        </w:rPr>
        <w:t xml:space="preserve">to automate all repetitive admin </w:t>
      </w:r>
      <w:r w:rsidDel="00000000" w:rsidR="00000000" w:rsidRPr="00000000">
        <w:rPr>
          <w:rFonts w:ascii="Calibri" w:cs="Calibri" w:eastAsia="Calibri" w:hAnsi="Calibri"/>
          <w:rtl w:val="0"/>
        </w:rPr>
        <w:t xml:space="preserve">processes</w:t>
      </w:r>
      <w:r w:rsidDel="00000000" w:rsidR="00000000" w:rsidRPr="00000000">
        <w:rPr>
          <w:rFonts w:ascii="Calibri" w:cs="Calibri" w:eastAsia="Calibri" w:hAnsi="Calibri"/>
          <w:color w:val="000000"/>
          <w:rtl w:val="0"/>
        </w:rPr>
        <w:t xml:space="preserve"> and reduce overheads. The application – a web based platform </w:t>
      </w:r>
      <w:r w:rsidDel="00000000" w:rsidR="00000000" w:rsidRPr="00000000">
        <w:rPr>
          <w:rFonts w:ascii="Calibri" w:cs="Calibri" w:eastAsia="Calibri" w:hAnsi="Calibri"/>
          <w:rtl w:val="0"/>
        </w:rPr>
        <w:t xml:space="preserve">which</w:t>
      </w:r>
      <w:r w:rsidDel="00000000" w:rsidR="00000000" w:rsidRPr="00000000">
        <w:rPr>
          <w:rFonts w:ascii="Calibri" w:cs="Calibri" w:eastAsia="Calibri" w:hAnsi="Calibri"/>
          <w:color w:val="000000"/>
          <w:rtl w:val="0"/>
        </w:rPr>
        <w:t xml:space="preserve"> is robust, flexible and secure – provides easy access for the multiple locations operating under the banner of this vast conglomerate. The benefits are outstanding: this leading global health provider will extrapolate an annual saving of $1.8 million, simply by automating 25 minutes of daily manual procedures across 16 admin points within their practices. Taking risks with innovation does pay off.</w:t>
      </w:r>
    </w:p>
    <w:p w:rsidR="00000000" w:rsidDel="00000000" w:rsidP="00000000" w:rsidRDefault="00000000" w:rsidRPr="00000000" w14:paraId="0000000F">
      <w:pPr>
        <w:pBdr>
          <w:top w:space="0" w:sz="0" w:val="nil"/>
          <w:left w:space="0" w:sz="0" w:val="nil"/>
          <w:bottom w:space="0" w:sz="0" w:val="nil"/>
          <w:right w:space="0" w:sz="0" w:val="nil"/>
          <w:between w:space="0" w:sz="0" w:val="nil"/>
        </w:pBdr>
        <w:contextualSpacing w:val="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rPr>
      </w:pPr>
      <w:r w:rsidDel="00000000" w:rsidR="00000000" w:rsidRPr="00000000">
        <w:rPr>
          <w:rFonts w:ascii="Calibri" w:cs="Calibri" w:eastAsia="Calibri" w:hAnsi="Calibri"/>
          <w:rtl w:val="0"/>
        </w:rPr>
        <w:t xml:space="preserve">By Expression of Interest, Claydata is releasing iTWorkS to the healthcare industry on the 26</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of September for the acquisition of its licence. A ‘Release &amp; Discovery’ event is scheduled at the harbourside Kirribilli Club. </w:t>
      </w:r>
      <w:r w:rsidDel="00000000" w:rsidR="00000000" w:rsidRPr="00000000">
        <w:rPr>
          <w:rFonts w:ascii="Calibri" w:cs="Calibri" w:eastAsia="Calibri" w:hAnsi="Calibri"/>
          <w:color w:val="000000"/>
          <w:rtl w:val="0"/>
        </w:rPr>
        <w:t xml:space="preserve">Claydata is inviting leading healthcare institutions and their IT partners to join them </w:t>
      </w: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color w:val="000000"/>
          <w:rtl w:val="0"/>
        </w:rPr>
        <w:t xml:space="preserve">showcas</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this</w:t>
      </w:r>
      <w:r w:rsidDel="00000000" w:rsidR="00000000" w:rsidRPr="00000000">
        <w:rPr>
          <w:rFonts w:ascii="Calibri" w:cs="Calibri" w:eastAsia="Calibri" w:hAnsi="Calibri"/>
          <w:color w:val="000000"/>
          <w:rtl w:val="0"/>
        </w:rPr>
        <w:t xml:space="preserve"> unique healthcare </w:t>
      </w:r>
      <w:r w:rsidDel="00000000" w:rsidR="00000000" w:rsidRPr="00000000">
        <w:rPr>
          <w:rFonts w:ascii="Calibri" w:cs="Calibri" w:eastAsia="Calibri" w:hAnsi="Calibri"/>
          <w:rtl w:val="0"/>
        </w:rPr>
        <w:t xml:space="preserve">solution</w:t>
      </w:r>
      <w:r w:rsidDel="00000000" w:rsidR="00000000" w:rsidRPr="00000000">
        <w:rPr>
          <w:rFonts w:ascii="Calibri" w:cs="Calibri" w:eastAsia="Calibri" w:hAnsi="Calibri"/>
          <w:color w:val="000000"/>
          <w:rtl w:val="0"/>
        </w:rPr>
        <w:t xml:space="preserve">.</w:t>
      </w:r>
      <w:r w:rsidDel="00000000" w:rsidR="00000000" w:rsidRPr="00000000">
        <w:rPr>
          <w:rFonts w:ascii="Calibri" w:cs="Calibri" w:eastAsia="Calibri" w:hAnsi="Calibri"/>
          <w:rtl w:val="0"/>
        </w:rPr>
        <w:t xml:space="preserve"> As an </w:t>
      </w:r>
      <w:r w:rsidDel="00000000" w:rsidR="00000000" w:rsidRPr="00000000">
        <w:rPr>
          <w:rFonts w:ascii="Calibri" w:cs="Calibri" w:eastAsia="Calibri" w:hAnsi="Calibri"/>
          <w:color w:val="000000"/>
          <w:rtl w:val="0"/>
        </w:rPr>
        <w:t xml:space="preserve">invitation only</w:t>
      </w:r>
      <w:r w:rsidDel="00000000" w:rsidR="00000000" w:rsidRPr="00000000">
        <w:rPr>
          <w:rFonts w:ascii="Calibri" w:cs="Calibri" w:eastAsia="Calibri" w:hAnsi="Calibri"/>
          <w:rtl w:val="0"/>
        </w:rPr>
        <w:t xml:space="preserve"> event, e</w:t>
      </w:r>
      <w:r w:rsidDel="00000000" w:rsidR="00000000" w:rsidRPr="00000000">
        <w:rPr>
          <w:rFonts w:ascii="Calibri" w:cs="Calibri" w:eastAsia="Calibri" w:hAnsi="Calibri"/>
          <w:color w:val="000000"/>
          <w:rtl w:val="0"/>
        </w:rPr>
        <w:t xml:space="preserve">xpressions of interest are being sought from healthcare software decision makers, senior representatives and their consultants.</w:t>
      </w: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2">
      <w:pPr>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color w:val="000000"/>
          <w:rtl w:val="0"/>
        </w:rPr>
        <w:t xml:space="preserve">Claydata is purely an Australian software development </w:t>
      </w:r>
      <w:r w:rsidDel="00000000" w:rsidR="00000000" w:rsidRPr="00000000">
        <w:rPr>
          <w:rFonts w:ascii="Calibri" w:cs="Calibri" w:eastAsia="Calibri" w:hAnsi="Calibri"/>
          <w:rtl w:val="0"/>
        </w:rPr>
        <w:t xml:space="preserve">outfit and</w:t>
      </w:r>
      <w:r w:rsidDel="00000000" w:rsidR="00000000" w:rsidRPr="00000000">
        <w:rPr>
          <w:rFonts w:ascii="Calibri" w:cs="Calibri" w:eastAsia="Calibri" w:hAnsi="Calibri"/>
          <w:color w:val="000000"/>
          <w:rtl w:val="0"/>
        </w:rPr>
        <w:t xml:space="preserve"> have </w:t>
      </w:r>
      <w:r w:rsidDel="00000000" w:rsidR="00000000" w:rsidRPr="00000000">
        <w:rPr>
          <w:rFonts w:ascii="Calibri" w:cs="Calibri" w:eastAsia="Calibri" w:hAnsi="Calibri"/>
          <w:rtl w:val="0"/>
        </w:rPr>
        <w:t xml:space="preserve">ten years of experience </w:t>
      </w:r>
      <w:r w:rsidDel="00000000" w:rsidR="00000000" w:rsidRPr="00000000">
        <w:rPr>
          <w:rFonts w:ascii="Calibri" w:cs="Calibri" w:eastAsia="Calibri" w:hAnsi="Calibri"/>
          <w:color w:val="000000"/>
          <w:rtl w:val="0"/>
        </w:rPr>
        <w:t xml:space="preserve">with extensive knowledge of the </w:t>
      </w:r>
      <w:r w:rsidDel="00000000" w:rsidR="00000000" w:rsidRPr="00000000">
        <w:rPr>
          <w:rFonts w:ascii="Calibri" w:cs="Calibri" w:eastAsia="Calibri" w:hAnsi="Calibri"/>
          <w:rtl w:val="0"/>
        </w:rPr>
        <w:t xml:space="preserve">Healthcare Practice Process Automation</w:t>
      </w:r>
      <w:r w:rsidDel="00000000" w:rsidR="00000000" w:rsidRPr="00000000">
        <w:rPr>
          <w:rFonts w:ascii="Calibri" w:cs="Calibri" w:eastAsia="Calibri" w:hAnsi="Calibri"/>
          <w:color w:val="000000"/>
          <w:rtl w:val="0"/>
        </w:rPr>
        <w:t xml:space="preserve"> needs. With the </w:t>
      </w:r>
      <w:r w:rsidDel="00000000" w:rsidR="00000000" w:rsidRPr="00000000">
        <w:rPr>
          <w:rFonts w:ascii="Calibri" w:cs="Calibri" w:eastAsia="Calibri" w:hAnsi="Calibri"/>
          <w:rtl w:val="0"/>
        </w:rPr>
        <w:t xml:space="preserve">release</w:t>
      </w:r>
      <w:r w:rsidDel="00000000" w:rsidR="00000000" w:rsidRPr="00000000">
        <w:rPr>
          <w:rFonts w:ascii="Calibri" w:cs="Calibri" w:eastAsia="Calibri" w:hAnsi="Calibri"/>
          <w:color w:val="000000"/>
          <w:rtl w:val="0"/>
        </w:rPr>
        <w:t xml:space="preserve"> of iTWorkS licence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they are promoting a </w:t>
      </w:r>
      <w:r w:rsidDel="00000000" w:rsidR="00000000" w:rsidRPr="00000000">
        <w:rPr>
          <w:rFonts w:ascii="Calibri" w:cs="Calibri" w:eastAsia="Calibri" w:hAnsi="Calibri"/>
          <w:rtl w:val="0"/>
        </w:rPr>
        <w:t xml:space="preserve">platform</w:t>
      </w:r>
      <w:r w:rsidDel="00000000" w:rsidR="00000000" w:rsidRPr="00000000">
        <w:rPr>
          <w:rFonts w:ascii="Calibri" w:cs="Calibri" w:eastAsia="Calibri" w:hAnsi="Calibri"/>
          <w:color w:val="000000"/>
          <w:rtl w:val="0"/>
        </w:rPr>
        <w:t xml:space="preserve"> capable of seamlessly managing</w:t>
      </w:r>
      <w:r w:rsidDel="00000000" w:rsidR="00000000" w:rsidRPr="00000000">
        <w:rPr>
          <w:rFonts w:ascii="Calibri" w:cs="Calibri" w:eastAsia="Calibri" w:hAnsi="Calibri"/>
          <w:rtl w:val="0"/>
        </w:rPr>
        <w:t xml:space="preserve"> medical records, instructions, correspondence and interactions. Further, because </w:t>
      </w:r>
      <w:r w:rsidDel="00000000" w:rsidR="00000000" w:rsidRPr="00000000">
        <w:rPr>
          <w:rFonts w:ascii="Calibri" w:cs="Calibri" w:eastAsia="Calibri" w:hAnsi="Calibri"/>
          <w:color w:val="000000"/>
          <w:rtl w:val="0"/>
        </w:rPr>
        <w:t xml:space="preserve">iTWorkS</w:t>
      </w:r>
      <w:r w:rsidDel="00000000" w:rsidR="00000000" w:rsidRPr="00000000">
        <w:rPr>
          <w:rFonts w:ascii="Calibri" w:cs="Calibri" w:eastAsia="Calibri" w:hAnsi="Calibri"/>
          <w:rtl w:val="0"/>
        </w:rPr>
        <w:t xml:space="preserve"> can connect between imaging and other servers through patented automated gateways, it has the capacity to transfer complex diagnostic images in real time. </w:t>
      </w:r>
      <w:r w:rsidDel="00000000" w:rsidR="00000000" w:rsidRPr="00000000">
        <w:rPr>
          <w:rFonts w:ascii="Calibri" w:cs="Calibri" w:eastAsia="Calibri" w:hAnsi="Calibri"/>
          <w:color w:val="000000"/>
          <w:rtl w:val="0"/>
        </w:rPr>
        <w:t xml:space="preserve">iTWorkS</w:t>
      </w:r>
      <w:r w:rsidDel="00000000" w:rsidR="00000000" w:rsidRPr="00000000">
        <w:rPr>
          <w:rFonts w:ascii="Calibri" w:cs="Calibri" w:eastAsia="Calibri" w:hAnsi="Calibri"/>
          <w:rtl w:val="0"/>
        </w:rPr>
        <w:t xml:space="preserve"> is taking the strain out of organising complex data.</w:t>
      </w:r>
    </w:p>
    <w:p w:rsidR="00000000" w:rsidDel="00000000" w:rsidP="00000000" w:rsidRDefault="00000000" w:rsidRPr="00000000" w14:paraId="0000001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4">
      <w:pPr>
        <w:contextualSpacing w:val="0"/>
        <w:rPr>
          <w:rFonts w:ascii="Calibri" w:cs="Calibri" w:eastAsia="Calibri" w:hAnsi="Calibri"/>
          <w:color w:val="333333"/>
        </w:rPr>
      </w:pPr>
      <w:r w:rsidDel="00000000" w:rsidR="00000000" w:rsidRPr="00000000">
        <w:rPr>
          <w:rFonts w:ascii="Calibri" w:cs="Calibri" w:eastAsia="Calibri" w:hAnsi="Calibri"/>
          <w:color w:val="000000"/>
          <w:rtl w:val="0"/>
        </w:rPr>
        <w:t xml:space="preserve">iTWorkS</w:t>
      </w:r>
      <w:r w:rsidDel="00000000" w:rsidR="00000000" w:rsidRPr="00000000">
        <w:rPr>
          <w:rFonts w:ascii="Calibri" w:cs="Calibri" w:eastAsia="Calibri" w:hAnsi="Calibri"/>
          <w:rtl w:val="0"/>
        </w:rPr>
        <w:t xml:space="preserve"> is compliant with health information privacy regulations and </w:t>
      </w:r>
      <w:r w:rsidDel="00000000" w:rsidR="00000000" w:rsidRPr="00000000">
        <w:rPr>
          <w:rFonts w:ascii="Calibri" w:cs="Calibri" w:eastAsia="Calibri" w:hAnsi="Calibri"/>
          <w:color w:val="333333"/>
          <w:rtl w:val="0"/>
        </w:rPr>
        <w:t xml:space="preserve">authorised by the National Coordinator, </w:t>
      </w:r>
      <w:r w:rsidDel="00000000" w:rsidR="00000000" w:rsidRPr="00000000">
        <w:rPr>
          <w:rFonts w:ascii="Calibri" w:cs="Calibri" w:eastAsia="Calibri" w:hAnsi="Calibri"/>
          <w:rtl w:val="0"/>
        </w:rPr>
        <w:t xml:space="preserve">ONC</w:t>
      </w:r>
      <w:r w:rsidDel="00000000" w:rsidR="00000000" w:rsidRPr="00000000">
        <w:rPr>
          <w:rFonts w:ascii="Calibri" w:cs="Calibri" w:eastAsia="Calibri" w:hAnsi="Calibri"/>
          <w:color w:val="333333"/>
          <w:rtl w:val="0"/>
        </w:rPr>
        <w:t xml:space="preserve">-Authorised Testing and Certification Bodies (</w:t>
      </w:r>
      <w:r w:rsidDel="00000000" w:rsidR="00000000" w:rsidRPr="00000000">
        <w:rPr>
          <w:rFonts w:ascii="Calibri" w:cs="Calibri" w:eastAsia="Calibri" w:hAnsi="Calibri"/>
          <w:rtl w:val="0"/>
        </w:rPr>
        <w:t xml:space="preserve">ONC-ATCB</w:t>
      </w:r>
      <w:r w:rsidDel="00000000" w:rsidR="00000000" w:rsidRPr="00000000">
        <w:rPr>
          <w:rFonts w:ascii="Calibri" w:cs="Calibri" w:eastAsia="Calibri" w:hAnsi="Calibri"/>
          <w:color w:val="333333"/>
          <w:rtl w:val="0"/>
        </w:rPr>
        <w:t xml:space="preserve">s). It provides the assurance of certified electronic medical records with a secure audit trail. </w:t>
      </w:r>
    </w:p>
    <w:p w:rsidR="00000000" w:rsidDel="00000000" w:rsidP="00000000" w:rsidRDefault="00000000" w:rsidRPr="00000000" w14:paraId="00000015">
      <w:pPr>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Fonts w:ascii="Calibri" w:cs="Calibri" w:eastAsia="Calibri" w:hAnsi="Calibri"/>
          <w:rtl w:val="0"/>
        </w:rPr>
        <w:t xml:space="preserve">Interactive, customisable, health record and telemedicine ready, </w:t>
      </w:r>
      <w:r w:rsidDel="00000000" w:rsidR="00000000" w:rsidRPr="00000000">
        <w:rPr>
          <w:rFonts w:ascii="Calibri" w:cs="Calibri" w:eastAsia="Calibri" w:hAnsi="Calibri"/>
          <w:color w:val="000000"/>
          <w:rtl w:val="0"/>
        </w:rPr>
        <w:t xml:space="preserve">iTWorkS provides exciting and new solutions that can be owned and controlled.</w:t>
      </w:r>
      <w:r w:rsidDel="00000000" w:rsidR="00000000" w:rsidRPr="00000000">
        <w:rPr>
          <w:rtl w:val="0"/>
        </w:rPr>
      </w:r>
    </w:p>
    <w:p w:rsidR="00000000" w:rsidDel="00000000" w:rsidP="00000000" w:rsidRDefault="00000000" w:rsidRPr="00000000" w14:paraId="00000017">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Attendees at our exclusive event will be able to discover more about iTWorks through a live Case Study of one of Australia’s largest cardiac healthcare groups – and proudly one of our anchor customers. You will have the chance to interact with our case study representative to learn why iTWorkS is fundamentally different to all other healthcare platforms.</w:t>
      </w:r>
    </w:p>
    <w:p w:rsidR="00000000" w:rsidDel="00000000" w:rsidP="00000000" w:rsidRDefault="00000000" w:rsidRPr="00000000" w14:paraId="0000001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A">
      <w:pPr>
        <w:contextualSpacing w:val="0"/>
        <w:rPr>
          <w:rFonts w:ascii="Calibri" w:cs="Calibri" w:eastAsia="Calibri" w:hAnsi="Calibri"/>
        </w:rPr>
      </w:pPr>
      <w:r w:rsidDel="00000000" w:rsidR="00000000" w:rsidRPr="00000000">
        <w:rPr>
          <w:rFonts w:ascii="Calibri" w:cs="Calibri" w:eastAsia="Calibri" w:hAnsi="Calibri"/>
          <w:color w:val="000000"/>
          <w:rtl w:val="0"/>
        </w:rPr>
        <w:t xml:space="preserve">The venue will remain open after the formalities for you to have the opportunity to network with other industry leaders and innovators. You will also have the opportunity to be the first to hear about </w:t>
      </w:r>
      <w:r w:rsidDel="00000000" w:rsidR="00000000" w:rsidRPr="00000000">
        <w:rPr>
          <w:rFonts w:ascii="Calibri" w:cs="Calibri" w:eastAsia="Calibri" w:hAnsi="Calibri"/>
          <w:rtl w:val="0"/>
        </w:rPr>
        <w:t xml:space="preserve">Claydata’s next release, a revolutionary breakthrough technology, that is dubbed to be disruptive for the industry.</w:t>
      </w:r>
    </w:p>
    <w:p w:rsidR="00000000" w:rsidDel="00000000" w:rsidP="00000000" w:rsidRDefault="00000000" w:rsidRPr="00000000" w14:paraId="0000001B">
      <w:pPr>
        <w:spacing w:after="10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contextualSpacing w:val="0"/>
        <w:rPr>
          <w:rFonts w:ascii="Calibri" w:cs="Calibri" w:eastAsia="Calibri" w:hAnsi="Calibri"/>
        </w:rPr>
      </w:pPr>
      <w:r w:rsidDel="00000000" w:rsidR="00000000" w:rsidRPr="00000000">
        <w:rPr>
          <w:rFonts w:ascii="Calibri" w:cs="Calibri" w:eastAsia="Calibri" w:hAnsi="Calibri"/>
          <w:rtl w:val="0"/>
        </w:rPr>
        <w:t xml:space="preserve">About the event &amp; registration: </w:t>
      </w:r>
    </w:p>
    <w:p w:rsidR="00000000" w:rsidDel="00000000" w:rsidP="00000000" w:rsidRDefault="00000000" w:rsidRPr="00000000" w14:paraId="0000001D">
      <w:pPr>
        <w:contextualSpacing w:val="0"/>
        <w:rPr>
          <w:rFonts w:ascii="Calibri" w:cs="Calibri" w:eastAsia="Calibri" w:hAnsi="Calibri"/>
          <w:color w:val="0000ff"/>
        </w:rPr>
      </w:pPr>
      <w:hyperlink r:id="rId6">
        <w:r w:rsidDel="00000000" w:rsidR="00000000" w:rsidRPr="00000000">
          <w:rPr>
            <w:rFonts w:ascii="Arial" w:cs="Arial" w:eastAsia="Arial" w:hAnsi="Arial"/>
            <w:color w:val="0000ff"/>
            <w:sz w:val="22"/>
            <w:szCs w:val="22"/>
            <w:highlight w:val="white"/>
            <w:u w:val="single"/>
            <w:rtl w:val="0"/>
          </w:rPr>
          <w:t xml:space="preserve">http://bit.ly/2QCX2Rz</w:t>
        </w:r>
      </w:hyperlink>
      <w:r w:rsidDel="00000000" w:rsidR="00000000" w:rsidRPr="00000000">
        <w:rPr>
          <w:rtl w:val="0"/>
        </w:rPr>
      </w:r>
    </w:p>
    <w:p w:rsidR="00000000" w:rsidDel="00000000" w:rsidP="00000000" w:rsidRDefault="00000000" w:rsidRPr="00000000" w14:paraId="0000001E">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Fonts w:ascii="Calibri" w:cs="Calibri" w:eastAsia="Calibri" w:hAnsi="Calibri"/>
          <w:rtl w:val="0"/>
        </w:rPr>
        <w:t xml:space="preserve">Related Articles: </w:t>
      </w:r>
    </w:p>
    <w:p w:rsidR="00000000" w:rsidDel="00000000" w:rsidP="00000000" w:rsidRDefault="00000000" w:rsidRPr="00000000" w14:paraId="00000020">
      <w:pPr>
        <w:contextualSpacing w:val="0"/>
        <w:rPr>
          <w:rFonts w:ascii="Calibri" w:cs="Calibri" w:eastAsia="Calibri" w:hAnsi="Calibri"/>
          <w:color w:val="0000ff"/>
        </w:rPr>
      </w:pPr>
      <w:hyperlink r:id="rId7">
        <w:r w:rsidDel="00000000" w:rsidR="00000000" w:rsidRPr="00000000">
          <w:rPr>
            <w:rFonts w:ascii="Roboto" w:cs="Roboto" w:eastAsia="Roboto" w:hAnsi="Roboto"/>
            <w:color w:val="0000ff"/>
            <w:sz w:val="21"/>
            <w:szCs w:val="21"/>
            <w:highlight w:val="white"/>
            <w:u w:val="single"/>
            <w:rtl w:val="0"/>
          </w:rPr>
          <w:t xml:space="preserve">https://lnkd.in/g4iyZqf</w:t>
        </w:r>
      </w:hyperlink>
      <w:r w:rsidDel="00000000" w:rsidR="00000000" w:rsidRPr="00000000">
        <w:rPr>
          <w:rtl w:val="0"/>
        </w:rPr>
      </w:r>
    </w:p>
    <w:p w:rsidR="00000000" w:rsidDel="00000000" w:rsidP="00000000" w:rsidRDefault="00000000" w:rsidRPr="00000000" w14:paraId="00000021">
      <w:pPr>
        <w:contextualSpacing w:val="0"/>
        <w:rPr>
          <w:rFonts w:ascii="Calibri" w:cs="Calibri" w:eastAsia="Calibri" w:hAnsi="Calibri"/>
          <w:color w:val="0000ff"/>
        </w:rPr>
      </w:pPr>
      <w:hyperlink r:id="rId8">
        <w:r w:rsidDel="00000000" w:rsidR="00000000" w:rsidRPr="00000000">
          <w:rPr>
            <w:rFonts w:ascii="Calibri" w:cs="Calibri" w:eastAsia="Calibri" w:hAnsi="Calibri"/>
            <w:color w:val="0000ff"/>
            <w:u w:val="single"/>
            <w:rtl w:val="0"/>
          </w:rPr>
          <w:t xml:space="preserve">http://bit.ly/2Oxv20d</w:t>
        </w:r>
      </w:hyperlink>
      <w:r w:rsidDel="00000000" w:rsidR="00000000" w:rsidRPr="00000000">
        <w:rPr>
          <w:rtl w:val="0"/>
        </w:rPr>
      </w:r>
    </w:p>
    <w:p w:rsidR="00000000" w:rsidDel="00000000" w:rsidP="00000000" w:rsidRDefault="00000000" w:rsidRPr="00000000" w14:paraId="00000022">
      <w:pPr>
        <w:contextualSpacing w:val="0"/>
        <w:rPr>
          <w:rFonts w:ascii="Arial" w:cs="Arial" w:eastAsia="Arial" w:hAnsi="Arial"/>
          <w:color w:val="0000ff"/>
          <w:sz w:val="21"/>
          <w:szCs w:val="21"/>
          <w:highlight w:val="white"/>
        </w:rPr>
      </w:pPr>
      <w:hyperlink r:id="rId9">
        <w:r w:rsidDel="00000000" w:rsidR="00000000" w:rsidRPr="00000000">
          <w:rPr>
            <w:rFonts w:ascii="Arial" w:cs="Arial" w:eastAsia="Arial" w:hAnsi="Arial"/>
            <w:color w:val="0000ff"/>
            <w:sz w:val="21"/>
            <w:szCs w:val="21"/>
            <w:highlight w:val="white"/>
            <w:u w:val="single"/>
            <w:rtl w:val="0"/>
          </w:rPr>
          <w:t xml:space="preserve">http://bit.ly/2OztUJo</w:t>
        </w:r>
      </w:hyperlink>
      <w:r w:rsidDel="00000000" w:rsidR="00000000" w:rsidRPr="00000000">
        <w:rPr>
          <w:rtl w:val="0"/>
        </w:rPr>
      </w:r>
    </w:p>
    <w:p w:rsidR="00000000" w:rsidDel="00000000" w:rsidP="00000000" w:rsidRDefault="00000000" w:rsidRPr="00000000" w14:paraId="00000023">
      <w:pPr>
        <w:contextualSpacing w:val="0"/>
        <w:rPr>
          <w:rFonts w:ascii="Arial" w:cs="Arial" w:eastAsia="Arial" w:hAnsi="Arial"/>
          <w:color w:val="0000ff"/>
          <w:sz w:val="21"/>
          <w:szCs w:val="21"/>
          <w:highlight w:val="white"/>
        </w:rPr>
      </w:pPr>
      <w:hyperlink r:id="rId10">
        <w:r w:rsidDel="00000000" w:rsidR="00000000" w:rsidRPr="00000000">
          <w:rPr>
            <w:rFonts w:ascii="Arial" w:cs="Arial" w:eastAsia="Arial" w:hAnsi="Arial"/>
            <w:color w:val="0000ff"/>
            <w:sz w:val="21"/>
            <w:szCs w:val="21"/>
            <w:highlight w:val="white"/>
            <w:u w:val="single"/>
            <w:rtl w:val="0"/>
          </w:rPr>
          <w:t xml:space="preserve">http://bit.ly/2OzcM6T</w:t>
        </w:r>
      </w:hyperlink>
      <w:r w:rsidDel="00000000" w:rsidR="00000000" w:rsidRPr="00000000">
        <w:rPr>
          <w:rtl w:val="0"/>
        </w:rPr>
      </w:r>
    </w:p>
    <w:p w:rsidR="00000000" w:rsidDel="00000000" w:rsidP="00000000" w:rsidRDefault="00000000" w:rsidRPr="00000000" w14:paraId="00000024">
      <w:pPr>
        <w:contextualSpacing w:val="0"/>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25">
      <w:pPr>
        <w:contextualSpacing w:val="0"/>
        <w:jc w:val="center"/>
        <w:rPr>
          <w:rFonts w:ascii="Arial" w:cs="Arial" w:eastAsia="Arial" w:hAnsi="Arial"/>
          <w:color w:val="333333"/>
          <w:sz w:val="21"/>
          <w:szCs w:val="21"/>
          <w:highlight w:val="white"/>
        </w:rPr>
      </w:pPr>
      <w:r w:rsidDel="00000000" w:rsidR="00000000" w:rsidRPr="00000000">
        <w:rPr>
          <w:rFonts w:ascii="Arial" w:cs="Arial" w:eastAsia="Arial" w:hAnsi="Arial"/>
          <w:color w:val="333333"/>
          <w:sz w:val="21"/>
          <w:szCs w:val="21"/>
          <w:highlight w:val="white"/>
          <w:rtl w:val="0"/>
        </w:rPr>
        <w:t xml:space="preserve">| END | </w:t>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76" w:lineRule="auto"/>
        <w:contextualSpacing w:val="0"/>
        <w:rPr>
          <w:rFonts w:ascii="Arial" w:cs="Arial" w:eastAsia="Arial" w:hAnsi="Arial"/>
          <w:i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spacing w:line="276" w:lineRule="auto"/>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Claydata is an Australian custom development firm that has been established for over ten (10) years, specialising in Healthcare Practice Process Automation and who have led the development of the purpose designed applications with a team of skilled developers.</w:t>
      </w:r>
    </w:p>
    <w:p w:rsidR="00000000" w:rsidDel="00000000" w:rsidP="00000000" w:rsidRDefault="00000000" w:rsidRPr="00000000" w14:paraId="00000029">
      <w:pPr>
        <w:spacing w:line="276" w:lineRule="auto"/>
        <w:contextualSpacing w:val="0"/>
        <w:rPr>
          <w:rFonts w:ascii="Arial" w:cs="Arial" w:eastAsia="Arial" w:hAnsi="Arial"/>
          <w:i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spacing w:line="276" w:lineRule="auto"/>
        <w:contextualSpacing w:val="0"/>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14:paraId="0000002B">
      <w:pPr>
        <w:contextualSpacing w:val="0"/>
        <w:rPr>
          <w:rFonts w:ascii="Calibri" w:cs="Calibri" w:eastAsia="Calibri" w:hAnsi="Calibri"/>
        </w:rPr>
      </w:pPr>
      <w:r w:rsidDel="00000000" w:rsidR="00000000" w:rsidRPr="00000000">
        <w:rPr>
          <w:rtl w:val="0"/>
        </w:rPr>
      </w:r>
    </w:p>
    <w:sectPr>
      <w:headerReference r:id="rId11"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5005388</wp:posOffset>
          </wp:positionH>
          <wp:positionV relativeFrom="paragraph">
            <wp:posOffset>-323849</wp:posOffset>
          </wp:positionV>
          <wp:extent cx="1338263" cy="536776"/>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38263" cy="5367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bit.ly/2OzcM6T" TargetMode="External"/><Relationship Id="rId9" Type="http://schemas.openxmlformats.org/officeDocument/2006/relationships/hyperlink" Target="http://bit.ly/2OztUJo" TargetMode="External"/><Relationship Id="rId5" Type="http://schemas.openxmlformats.org/officeDocument/2006/relationships/styles" Target="styles.xml"/><Relationship Id="rId6" Type="http://schemas.openxmlformats.org/officeDocument/2006/relationships/hyperlink" Target="http://bit.ly/2QCX2Rz" TargetMode="External"/><Relationship Id="rId7" Type="http://schemas.openxmlformats.org/officeDocument/2006/relationships/hyperlink" Target="https://lnkd.in/g4iyZqf" TargetMode="External"/><Relationship Id="rId8" Type="http://schemas.openxmlformats.org/officeDocument/2006/relationships/hyperlink" Target="http://bit.ly/2Oxv20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