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760" w:rsidRDefault="00EA0760" w:rsidP="00EA0760">
      <w:pPr>
        <w:jc w:val="center"/>
      </w:pPr>
      <w:bookmarkStart w:id="0" w:name="_Toc110153014"/>
      <w:r>
        <w:rPr>
          <w:noProof/>
          <w:lang w:eastAsia="en-AU"/>
        </w:rPr>
        <w:drawing>
          <wp:inline distT="0" distB="0" distL="0" distR="0">
            <wp:extent cx="2608580" cy="571500"/>
            <wp:effectExtent l="0" t="0" r="1270" b="0"/>
            <wp:docPr id="1" name="Picture 1" descr="745 BSL logo colr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5 BSL logo colr 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60" w:rsidRDefault="00EA0760" w:rsidP="00EA0760"/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752"/>
      </w:tblGrid>
      <w:tr w:rsidR="00EA0760" w:rsidTr="006B043C">
        <w:trPr>
          <w:jc w:val="center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bookmarkEnd w:id="0"/>
          <w:p w:rsidR="00EA0760" w:rsidRDefault="00EA0760" w:rsidP="006B043C">
            <w:pPr>
              <w:tabs>
                <w:tab w:val="center" w:pos="4677"/>
                <w:tab w:val="left" w:pos="781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MEDIA RELEASE</w:t>
            </w:r>
          </w:p>
        </w:tc>
      </w:tr>
    </w:tbl>
    <w:p w:rsidR="00D01978" w:rsidRDefault="00D01978"/>
    <w:p w:rsidR="00B77E74" w:rsidRPr="00B77E74" w:rsidRDefault="00B77E74" w:rsidP="00B77E74">
      <w:pPr>
        <w:spacing w:after="120"/>
        <w:rPr>
          <w:rFonts w:asciiTheme="minorHAnsi" w:hAnsiTheme="minorHAnsi" w:cstheme="minorHAnsi"/>
          <w:b/>
        </w:rPr>
      </w:pPr>
      <w:r w:rsidRPr="00B77E74">
        <w:rPr>
          <w:rFonts w:asciiTheme="minorHAnsi" w:hAnsiTheme="minorHAnsi" w:cstheme="minorHAnsi"/>
          <w:b/>
        </w:rPr>
        <w:t>Monday March 4, 2019</w:t>
      </w:r>
    </w:p>
    <w:p w:rsidR="00FC56BC" w:rsidRPr="00FC56BC" w:rsidRDefault="00136B46" w:rsidP="00FC56BC">
      <w:pPr>
        <w:pStyle w:val="BodytextRPC"/>
        <w:spacing w:after="120" w:line="240" w:lineRule="auto"/>
        <w:jc w:val="center"/>
        <w:rPr>
          <w:b/>
          <w:sz w:val="28"/>
          <w:szCs w:val="28"/>
        </w:rPr>
      </w:pPr>
      <w:bookmarkStart w:id="1" w:name="_Hlk2519167"/>
      <w:bookmarkStart w:id="2" w:name="_GoBack"/>
      <w:r>
        <w:rPr>
          <w:b/>
          <w:sz w:val="28"/>
          <w:szCs w:val="28"/>
        </w:rPr>
        <w:t>WA’</w:t>
      </w:r>
      <w:r w:rsidR="00127966" w:rsidRPr="00127966">
        <w:rPr>
          <w:b/>
          <w:sz w:val="28"/>
          <w:szCs w:val="28"/>
        </w:rPr>
        <w:t>s youth unemployment hotspots</w:t>
      </w:r>
      <w:r w:rsidR="00935601">
        <w:rPr>
          <w:b/>
          <w:sz w:val="28"/>
          <w:szCs w:val="28"/>
        </w:rPr>
        <w:t xml:space="preserve"> uncovered</w:t>
      </w:r>
    </w:p>
    <w:p w:rsidR="00FC56BC" w:rsidRPr="00B643FD" w:rsidRDefault="00FC56BC" w:rsidP="00FC56BC">
      <w:pPr>
        <w:pStyle w:val="BodytextRPC"/>
        <w:spacing w:after="120" w:line="240" w:lineRule="auto"/>
        <w:jc w:val="center"/>
        <w:rPr>
          <w:b/>
          <w:sz w:val="25"/>
          <w:szCs w:val="25"/>
        </w:rPr>
      </w:pPr>
      <w:bookmarkStart w:id="3" w:name="_Hlk2519617"/>
      <w:r w:rsidRPr="00B643FD">
        <w:rPr>
          <w:b/>
          <w:sz w:val="25"/>
          <w:szCs w:val="25"/>
        </w:rPr>
        <w:t>Anti-poverty group’s new report smashes the ‘avocado’ generation myth</w:t>
      </w:r>
    </w:p>
    <w:bookmarkEnd w:id="3"/>
    <w:bookmarkEnd w:id="2"/>
    <w:p w:rsidR="00136B46" w:rsidRPr="00136B46" w:rsidRDefault="00136B46" w:rsidP="00136B46">
      <w:pPr>
        <w:spacing w:after="120"/>
        <w:rPr>
          <w:rFonts w:asciiTheme="minorHAnsi" w:hAnsiTheme="minorHAnsi" w:cstheme="minorHAnsi"/>
        </w:rPr>
      </w:pPr>
      <w:r w:rsidRPr="00136B46">
        <w:rPr>
          <w:rFonts w:asciiTheme="minorHAnsi" w:hAnsiTheme="minorHAnsi" w:cstheme="minorHAnsi"/>
        </w:rPr>
        <w:t>A report released today maps unemployment “hotspots” for young people in Western Australia to find the highest youth unemployment rate is in the Perth – North West region, where more than 16% of young people in the labour force are unemployed.</w:t>
      </w:r>
    </w:p>
    <w:p w:rsidR="00136B46" w:rsidRPr="00136B46" w:rsidRDefault="00136B46" w:rsidP="00136B46">
      <w:pPr>
        <w:spacing w:after="120"/>
        <w:rPr>
          <w:rFonts w:asciiTheme="minorHAnsi" w:hAnsiTheme="minorHAnsi" w:cstheme="minorHAnsi"/>
        </w:rPr>
      </w:pPr>
      <w:r w:rsidRPr="00136B46">
        <w:rPr>
          <w:rFonts w:asciiTheme="minorHAnsi" w:hAnsiTheme="minorHAnsi" w:cstheme="minorHAnsi"/>
        </w:rPr>
        <w:t>The state’s youth unemployment rate was 14.5%, well above the national rate of 11.2%, says the report published by national anti-poverty group the Brotherhood of St Laurence.</w:t>
      </w:r>
    </w:p>
    <w:p w:rsidR="00136B46" w:rsidRPr="00136B46" w:rsidRDefault="00136B46" w:rsidP="00136B46">
      <w:pPr>
        <w:spacing w:after="120"/>
        <w:rPr>
          <w:rFonts w:asciiTheme="minorHAnsi" w:hAnsiTheme="minorHAnsi" w:cstheme="minorHAnsi"/>
        </w:rPr>
      </w:pPr>
      <w:r w:rsidRPr="00136B46">
        <w:rPr>
          <w:rFonts w:asciiTheme="minorHAnsi" w:hAnsiTheme="minorHAnsi" w:cstheme="minorHAnsi"/>
        </w:rPr>
        <w:t>Youth unemployment rates for the five worst youth unemployment “hotspots” in the state – also all above the national 11.2% rate are (from Australian Bureau of Statistics data using the 12-month average to December 2018):</w:t>
      </w:r>
    </w:p>
    <w:p w:rsidR="00136B46" w:rsidRPr="00136B46" w:rsidRDefault="00136B46" w:rsidP="00F062FA">
      <w:pPr>
        <w:pStyle w:val="TabletextRPC"/>
        <w:numPr>
          <w:ilvl w:val="0"/>
          <w:numId w:val="6"/>
        </w:numPr>
        <w:tabs>
          <w:tab w:val="left" w:pos="899"/>
          <w:tab w:val="left" w:pos="3861"/>
          <w:tab w:val="left" w:pos="5321"/>
        </w:tabs>
        <w:spacing w:before="0" w:after="6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16.7% in the Perth</w:t>
      </w:r>
      <w:r>
        <w:t xml:space="preserve"> – </w:t>
      </w:r>
      <w:r w:rsidRPr="00136B46">
        <w:rPr>
          <w:rFonts w:asciiTheme="minorHAnsi" w:hAnsiTheme="minorHAnsi" w:cstheme="minorHAnsi"/>
          <w:sz w:val="22"/>
          <w:szCs w:val="22"/>
        </w:rPr>
        <w:t>North West region, including Joondalup, Yanchep, Wanneroo, Scarborough</w:t>
      </w:r>
    </w:p>
    <w:p w:rsidR="00136B46" w:rsidRPr="00136B46" w:rsidRDefault="00136B46" w:rsidP="00F062FA">
      <w:pPr>
        <w:pStyle w:val="TabletextRPC"/>
        <w:numPr>
          <w:ilvl w:val="0"/>
          <w:numId w:val="6"/>
        </w:numPr>
        <w:tabs>
          <w:tab w:val="left" w:pos="899"/>
          <w:tab w:val="left" w:pos="3861"/>
          <w:tab w:val="left" w:pos="5321"/>
        </w:tabs>
        <w:spacing w:before="0" w:after="6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15.9% in the Western Australia</w:t>
      </w:r>
      <w:r>
        <w:t xml:space="preserve"> – </w:t>
      </w:r>
      <w:r w:rsidRPr="00136B46">
        <w:rPr>
          <w:rFonts w:asciiTheme="minorHAnsi" w:hAnsiTheme="minorHAnsi" w:cstheme="minorHAnsi"/>
          <w:sz w:val="22"/>
          <w:szCs w:val="22"/>
        </w:rPr>
        <w:t>Wheat Belt region, including Albany, Denmark, Northam, Mount Barker</w:t>
      </w:r>
    </w:p>
    <w:p w:rsidR="00136B46" w:rsidRPr="00136B46" w:rsidRDefault="00136B46" w:rsidP="00F062FA">
      <w:pPr>
        <w:pStyle w:val="TabletextRPC"/>
        <w:numPr>
          <w:ilvl w:val="0"/>
          <w:numId w:val="6"/>
        </w:numPr>
        <w:tabs>
          <w:tab w:val="left" w:pos="899"/>
          <w:tab w:val="left" w:pos="3861"/>
          <w:tab w:val="left" w:pos="5321"/>
        </w:tabs>
        <w:spacing w:before="0" w:after="6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36B46">
        <w:rPr>
          <w:rFonts w:asciiTheme="minorHAnsi" w:hAnsiTheme="minorHAnsi" w:cstheme="minorHAnsi"/>
          <w:sz w:val="22"/>
          <w:szCs w:val="22"/>
        </w:rPr>
        <w:t>14.9% in the Perth</w:t>
      </w:r>
      <w:r>
        <w:t xml:space="preserve"> – </w:t>
      </w:r>
      <w:r w:rsidRPr="00136B46">
        <w:rPr>
          <w:rFonts w:asciiTheme="minorHAnsi" w:hAnsiTheme="minorHAnsi" w:cstheme="minorHAnsi"/>
          <w:sz w:val="22"/>
          <w:szCs w:val="22"/>
        </w:rPr>
        <w:t>South East region, including Victoria Park, Kalamunda, Armadale, Serpentine</w:t>
      </w:r>
    </w:p>
    <w:p w:rsidR="00136B46" w:rsidRPr="00136B46" w:rsidRDefault="00136B46" w:rsidP="00F062FA">
      <w:pPr>
        <w:pStyle w:val="TabletextRPC"/>
        <w:numPr>
          <w:ilvl w:val="0"/>
          <w:numId w:val="6"/>
        </w:numPr>
        <w:tabs>
          <w:tab w:val="left" w:pos="899"/>
          <w:tab w:val="left" w:pos="3861"/>
          <w:tab w:val="left" w:pos="5321"/>
        </w:tabs>
        <w:spacing w:before="0" w:after="6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36B46">
        <w:rPr>
          <w:rFonts w:asciiTheme="minorHAnsi" w:hAnsiTheme="minorHAnsi" w:cstheme="minorHAnsi"/>
          <w:sz w:val="22"/>
          <w:szCs w:val="22"/>
        </w:rPr>
        <w:t>14.6% in the Perth</w:t>
      </w:r>
      <w:r>
        <w:t xml:space="preserve"> – </w:t>
      </w:r>
      <w:r w:rsidRPr="00136B46">
        <w:rPr>
          <w:rFonts w:asciiTheme="minorHAnsi" w:hAnsiTheme="minorHAnsi" w:cstheme="minorHAnsi"/>
          <w:sz w:val="22"/>
          <w:szCs w:val="22"/>
        </w:rPr>
        <w:t>North East region, including Bayswater, Midland, Mundaring, Ellenbrook</w:t>
      </w:r>
    </w:p>
    <w:p w:rsidR="00136B46" w:rsidRPr="00136B46" w:rsidRDefault="00136B46" w:rsidP="00F062FA">
      <w:pPr>
        <w:pStyle w:val="TabletextRPC"/>
        <w:numPr>
          <w:ilvl w:val="0"/>
          <w:numId w:val="6"/>
        </w:numPr>
        <w:tabs>
          <w:tab w:val="left" w:pos="899"/>
          <w:tab w:val="left" w:pos="3861"/>
          <w:tab w:val="left" w:pos="5321"/>
        </w:tabs>
        <w:spacing w:before="0" w:after="12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36B46">
        <w:rPr>
          <w:rFonts w:asciiTheme="minorHAnsi" w:hAnsiTheme="minorHAnsi" w:cstheme="minorHAnsi"/>
          <w:sz w:val="22"/>
          <w:szCs w:val="22"/>
        </w:rPr>
        <w:t>14.3% In the Mandurah region, including Pinjarra</w:t>
      </w:r>
    </w:p>
    <w:p w:rsidR="00136B46" w:rsidRPr="00136B46" w:rsidRDefault="00136B46" w:rsidP="00136B46">
      <w:pPr>
        <w:pStyle w:val="TabletextRPC"/>
        <w:tabs>
          <w:tab w:val="left" w:pos="899"/>
          <w:tab w:val="left" w:pos="3861"/>
          <w:tab w:val="left" w:pos="5321"/>
        </w:tabs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136B46">
        <w:rPr>
          <w:rFonts w:asciiTheme="minorHAnsi" w:hAnsiTheme="minorHAnsi" w:cstheme="minorHAnsi"/>
          <w:sz w:val="22"/>
          <w:szCs w:val="22"/>
        </w:rPr>
        <w:t>An estimated 34,900 young people aged 15 to 24 were unemployed in Western Australia in December 2018.</w:t>
      </w:r>
    </w:p>
    <w:p w:rsidR="00FC56BC" w:rsidRPr="00FC56BC" w:rsidRDefault="00127966" w:rsidP="00FC56BC">
      <w:pPr>
        <w:pStyle w:val="BodytextRPC"/>
        <w:spacing w:after="120" w:line="240" w:lineRule="auto"/>
      </w:pPr>
      <w:r>
        <w:t xml:space="preserve">The </w:t>
      </w:r>
      <w:r w:rsidR="00967A7E" w:rsidRPr="00FC56BC">
        <w:t xml:space="preserve">Brotherhood’s </w:t>
      </w:r>
      <w:r w:rsidR="00967A7E">
        <w:t xml:space="preserve">disturbing analysis, </w:t>
      </w:r>
      <w:r w:rsidR="00967A7E" w:rsidRPr="00FC56BC">
        <w:t xml:space="preserve">Smashing the Avocado Debate, </w:t>
      </w:r>
      <w:r>
        <w:t xml:space="preserve">finds that across Australia the </w:t>
      </w:r>
      <w:r w:rsidR="00FC56BC" w:rsidRPr="00FC56BC">
        <w:t>youth unemployment rate is stagnating at</w:t>
      </w:r>
      <w:r w:rsidR="00FC56BC">
        <w:t xml:space="preserve"> the</w:t>
      </w:r>
      <w:r w:rsidR="00FC56BC" w:rsidRPr="00FC56BC">
        <w:t xml:space="preserve"> levels seen in the early 2000s, despite 28 years of economic growth.</w:t>
      </w:r>
    </w:p>
    <w:p w:rsidR="00FC56BC" w:rsidRPr="00FC56BC" w:rsidRDefault="00044DF4" w:rsidP="00FC56BC">
      <w:pPr>
        <w:pStyle w:val="BodytextRPC"/>
        <w:spacing w:after="120" w:line="240" w:lineRule="auto"/>
      </w:pPr>
      <w:r>
        <w:t xml:space="preserve">The </w:t>
      </w:r>
      <w:r w:rsidR="00FC56BC" w:rsidRPr="00FC56BC">
        <w:t xml:space="preserve">11.2% </w:t>
      </w:r>
      <w:r>
        <w:t xml:space="preserve">national </w:t>
      </w:r>
      <w:r w:rsidR="00FC56BC" w:rsidRPr="00FC56BC">
        <w:t>youth unemployment rat</w:t>
      </w:r>
      <w:r>
        <w:t>e</w:t>
      </w:r>
      <w:r w:rsidR="00FC56BC" w:rsidRPr="00FC56BC">
        <w:t xml:space="preserve"> is more than twice Australia’s overall unemployment rate (5%), at December 2018, and almost three times the unemployment rate of those aged 25 and over. Across Australia, this translates to a quarter of a </w:t>
      </w:r>
      <w:proofErr w:type="gramStart"/>
      <w:r w:rsidR="00FC56BC" w:rsidRPr="00FC56BC">
        <w:t>million young</w:t>
      </w:r>
      <w:proofErr w:type="gramEnd"/>
      <w:r w:rsidR="00FC56BC" w:rsidRPr="00FC56BC">
        <w:t xml:space="preserve"> people who are still unemployed. </w:t>
      </w:r>
    </w:p>
    <w:p w:rsidR="00FC56BC" w:rsidRPr="00FC56BC" w:rsidRDefault="00FC56BC" w:rsidP="00FC56BC">
      <w:pPr>
        <w:pStyle w:val="BodytextRPC"/>
        <w:spacing w:after="120" w:line="240" w:lineRule="auto"/>
      </w:pPr>
      <w:r w:rsidRPr="00FC56BC">
        <w:t>In the lead up to a federal election, the Brotherhood’s Executive Director</w:t>
      </w:r>
      <w:r w:rsidR="006259B6">
        <w:t>, Conny Lenneberg,</w:t>
      </w:r>
      <w:r w:rsidRPr="00FC56BC">
        <w:t xml:space="preserve"> challenged policymakers to give Australia’s young people a fair go, including advancing solutions for the unprecedented challenges the emerging generation faces in the world of work in the 21st century.</w:t>
      </w:r>
    </w:p>
    <w:p w:rsidR="00FC56BC" w:rsidRPr="00FC56BC" w:rsidRDefault="00FC56BC" w:rsidP="00FC56BC">
      <w:pPr>
        <w:pStyle w:val="BodytextRPC"/>
        <w:spacing w:after="120" w:line="240" w:lineRule="auto"/>
      </w:pPr>
      <w:r w:rsidRPr="00FC56BC">
        <w:t>“Young people come out of education and training with high hopes and aspirations for independence. It’s devastating that despite 28 year</w:t>
      </w:r>
      <w:r w:rsidR="00A13B3C">
        <w:t>s</w:t>
      </w:r>
      <w:r w:rsidRPr="00FC56BC">
        <w:t xml:space="preserve"> of continuous economic growth, too many young Australians are locked out of the prosperity dividend,” Ms Lenneberg said.</w:t>
      </w:r>
    </w:p>
    <w:p w:rsidR="00127966" w:rsidRPr="00FC56BC" w:rsidRDefault="00127966" w:rsidP="00136B46">
      <w:pPr>
        <w:pStyle w:val="BodytextRPC"/>
        <w:spacing w:after="120" w:line="240" w:lineRule="auto"/>
      </w:pPr>
      <w:r>
        <w:t xml:space="preserve">The </w:t>
      </w:r>
      <w:hyperlink r:id="rId9" w:history="1">
        <w:r w:rsidR="00967A7E" w:rsidRPr="00E53B14">
          <w:rPr>
            <w:rStyle w:val="Hyperlink"/>
          </w:rPr>
          <w:t>report</w:t>
        </w:r>
      </w:hyperlink>
      <w:r w:rsidR="00967A7E">
        <w:t xml:space="preserve"> </w:t>
      </w:r>
      <w:r>
        <w:t>maps the 20 worst “hotspot”</w:t>
      </w:r>
      <w:r w:rsidRPr="00FC56BC">
        <w:t xml:space="preserve"> </w:t>
      </w:r>
      <w:r>
        <w:t>regions for youth unemployment</w:t>
      </w:r>
      <w:r w:rsidR="00C5428F">
        <w:t xml:space="preserve"> across Australia</w:t>
      </w:r>
      <w:r>
        <w:t xml:space="preserve"> – including</w:t>
      </w:r>
      <w:r w:rsidR="00136B46">
        <w:t xml:space="preserve"> the Perth – North West, Western Australia – Wheat Belt, Perth – South East and Perth – North East regions </w:t>
      </w:r>
      <w:r w:rsidR="00044DF4">
        <w:t>–</w:t>
      </w:r>
      <w:r>
        <w:t xml:space="preserve"> </w:t>
      </w:r>
      <w:r w:rsidRPr="00FC56BC">
        <w:t>and confirms many regional and outer suburban areas bear the heaviest burden.</w:t>
      </w:r>
    </w:p>
    <w:p w:rsidR="00FC56BC" w:rsidRPr="00FC56BC" w:rsidRDefault="00FC56BC" w:rsidP="00FC56BC">
      <w:pPr>
        <w:pStyle w:val="BodytextRPC"/>
        <w:spacing w:after="120" w:line="240" w:lineRule="auto"/>
      </w:pPr>
      <w:r w:rsidRPr="00FC56BC">
        <w:t>Ms Lenneberg said</w:t>
      </w:r>
      <w:r>
        <w:t xml:space="preserve"> the latest “</w:t>
      </w:r>
      <w:r w:rsidRPr="00FC56BC">
        <w:t>hotspots</w:t>
      </w:r>
      <w:r>
        <w:t>”</w:t>
      </w:r>
      <w:r w:rsidRPr="00FC56BC">
        <w:t xml:space="preserve"> revelation smashed stereotypes about young people and called for a more sophisticated public debate about the emerging generation’s challenges.</w:t>
      </w:r>
    </w:p>
    <w:p w:rsidR="00FC56BC" w:rsidRPr="00FC56BC" w:rsidRDefault="00FC56BC" w:rsidP="00FC56BC">
      <w:pPr>
        <w:pStyle w:val="BodytextRPC"/>
        <w:spacing w:after="120" w:line="240" w:lineRule="auto"/>
      </w:pPr>
      <w:r w:rsidRPr="00FC56BC">
        <w:t>“These figures belie stereotypes about young people. We know from our research and the experience of our services that many young people are doing it tough</w:t>
      </w:r>
      <w:r w:rsidR="00C5428F">
        <w:t>,</w:t>
      </w:r>
      <w:r w:rsidRPr="00FC56BC">
        <w:t>”</w:t>
      </w:r>
      <w:r w:rsidR="00C5428F">
        <w:t xml:space="preserve"> she said.</w:t>
      </w:r>
    </w:p>
    <w:p w:rsidR="00FC56BC" w:rsidRPr="00FC56BC" w:rsidRDefault="00FC56BC" w:rsidP="00FC56BC">
      <w:pPr>
        <w:pStyle w:val="BodytextRPC"/>
        <w:spacing w:after="120" w:line="240" w:lineRule="auto"/>
      </w:pPr>
      <w:r w:rsidRPr="00FC56BC">
        <w:t xml:space="preserve">“Yet young people are too often depicted in simplistic terms of consumers of overpriced smashed-avocado toast with a fascination for selfies, and that’s plain wrong.” </w:t>
      </w:r>
    </w:p>
    <w:p w:rsidR="00FC56BC" w:rsidRPr="00FC56BC" w:rsidRDefault="00FC56BC" w:rsidP="00FC56BC">
      <w:pPr>
        <w:pStyle w:val="BodytextRPC"/>
        <w:spacing w:after="120" w:line="240" w:lineRule="auto"/>
      </w:pPr>
      <w:r w:rsidRPr="00FC56BC">
        <w:lastRenderedPageBreak/>
        <w:t>The Brotherhood’s report</w:t>
      </w:r>
      <w:r w:rsidR="00044DF4">
        <w:t xml:space="preserve"> </w:t>
      </w:r>
      <w:r w:rsidRPr="00FC56BC">
        <w:t xml:space="preserve">says young Australians are moving into adulthood while the nation is also navigating a period of testing social and economic change due to the interconnected challenges posed by globalisation, technology, climate change and demographic change. </w:t>
      </w:r>
    </w:p>
    <w:p w:rsidR="00FC56BC" w:rsidRPr="00FC56BC" w:rsidRDefault="00FC56BC" w:rsidP="00FC56BC">
      <w:pPr>
        <w:pStyle w:val="BodytextRPC"/>
        <w:spacing w:after="120" w:line="240" w:lineRule="auto"/>
      </w:pPr>
      <w:r w:rsidRPr="00FC56BC">
        <w:t xml:space="preserve">“We remain especially concerned at how young people without qualifications and skills or family networks are tracking in this rapidly changing economic and social environment,” Ms Lenneberg said. </w:t>
      </w:r>
    </w:p>
    <w:p w:rsidR="00FC56BC" w:rsidRPr="00FC56BC" w:rsidRDefault="00FC56BC" w:rsidP="00FC56BC">
      <w:pPr>
        <w:pStyle w:val="BodytextRPC"/>
        <w:spacing w:after="120" w:line="240" w:lineRule="auto"/>
      </w:pPr>
      <w:r w:rsidRPr="00FC56BC">
        <w:t>“To secure the future labo</w:t>
      </w:r>
      <w:r w:rsidR="00360CFE">
        <w:t>u</w:t>
      </w:r>
      <w:r w:rsidRPr="00FC56BC">
        <w:t>r force and create opportunities for decent work, we need structural solutions that drill down to local job markets and infrastructure challenges.”</w:t>
      </w:r>
    </w:p>
    <w:p w:rsidR="00FC56BC" w:rsidRDefault="00FC56BC" w:rsidP="00FC56BC">
      <w:pPr>
        <w:pStyle w:val="BodytextRPC"/>
        <w:spacing w:after="120" w:line="240" w:lineRule="auto"/>
      </w:pPr>
      <w:r w:rsidRPr="00FC56BC">
        <w:t>“We also know from our practical experience that all young jobseekers in Australia need to have access to a specialist youth employment service, a one-stop-shop dedicated to their needs</w:t>
      </w:r>
      <w:r w:rsidR="00360CFE">
        <w:t>,</w:t>
      </w:r>
      <w:r w:rsidRPr="00FC56BC">
        <w:t xml:space="preserve"> whereas currently we still have a fragmented response to employment services for young </w:t>
      </w:r>
      <w:r w:rsidR="00A13B3C">
        <w:t>people.”</w:t>
      </w:r>
    </w:p>
    <w:p w:rsidR="00360CFE" w:rsidRPr="00FC56BC" w:rsidRDefault="00360CFE" w:rsidP="00FC56BC">
      <w:pPr>
        <w:pStyle w:val="BodytextRPC"/>
        <w:spacing w:after="120" w:line="240" w:lineRule="auto"/>
      </w:pPr>
    </w:p>
    <w:p w:rsidR="00B77E74" w:rsidRDefault="00B77E74" w:rsidP="00334A37">
      <w:pPr>
        <w:pStyle w:val="BodytextRPC"/>
        <w:spacing w:after="160" w:line="240" w:lineRule="auto"/>
      </w:pPr>
      <w:r w:rsidRPr="009522EB">
        <w:rPr>
          <w:b/>
        </w:rPr>
        <w:t xml:space="preserve">Read the report ‘Smashing the avocado debate: Australia’s youth unemployment hotspots’: </w:t>
      </w:r>
      <w:hyperlink r:id="rId10" w:history="1">
        <w:r w:rsidR="009726D8">
          <w:rPr>
            <w:rStyle w:val="Hyperlink"/>
          </w:rPr>
          <w:t>http://library.bsl.org.au/showitem.php?handle=1/11134</w:t>
        </w:r>
      </w:hyperlink>
    </w:p>
    <w:p w:rsidR="00C946EB" w:rsidRDefault="00B470B1" w:rsidP="00334A37">
      <w:pPr>
        <w:pStyle w:val="BodytextRPC"/>
        <w:spacing w:after="160" w:line="240" w:lineRule="auto"/>
        <w:rPr>
          <w:b/>
        </w:rPr>
      </w:pPr>
      <w:r>
        <w:rPr>
          <w:b/>
        </w:rPr>
        <w:t xml:space="preserve">“In my town there’s not a lot of jobs </w:t>
      </w:r>
      <w:proofErr w:type="gramStart"/>
      <w:r>
        <w:rPr>
          <w:b/>
        </w:rPr>
        <w:t>for the amount of</w:t>
      </w:r>
      <w:proofErr w:type="gramEnd"/>
      <w:r>
        <w:rPr>
          <w:b/>
        </w:rPr>
        <w:t xml:space="preserve"> people”; watch this video of </w:t>
      </w:r>
      <w:r w:rsidR="00F64A56">
        <w:rPr>
          <w:b/>
        </w:rPr>
        <w:t>Jayda</w:t>
      </w:r>
      <w:r>
        <w:rPr>
          <w:b/>
        </w:rPr>
        <w:t>’s story:</w:t>
      </w:r>
      <w:r w:rsidR="00B77E74" w:rsidRPr="009522EB">
        <w:rPr>
          <w:b/>
        </w:rPr>
        <w:t xml:space="preserve"> </w:t>
      </w:r>
      <w:hyperlink r:id="rId11" w:tgtFrame="_blank" w:history="1">
        <w:r w:rsidR="00360CFE" w:rsidRPr="00360CFE">
          <w:rPr>
            <w:rStyle w:val="Hyperlink"/>
            <w:rFonts w:asciiTheme="minorHAnsi" w:eastAsia="Times New Roman" w:hAnsiTheme="minorHAnsi" w:cs="Arial"/>
            <w:color w:val="167AC6"/>
            <w:szCs w:val="22"/>
            <w:bdr w:val="none" w:sz="0" w:space="0" w:color="auto" w:frame="1"/>
          </w:rPr>
          <w:t>https://youtu.be/VGDY08qKcbw</w:t>
        </w:r>
      </w:hyperlink>
    </w:p>
    <w:p w:rsidR="00B470B1" w:rsidRDefault="00B470B1" w:rsidP="00334A37">
      <w:pPr>
        <w:pStyle w:val="BodytextRPC"/>
        <w:spacing w:after="160" w:line="240" w:lineRule="auto"/>
        <w:rPr>
          <w:b/>
        </w:rPr>
      </w:pPr>
      <w:r>
        <w:rPr>
          <w:b/>
        </w:rPr>
        <w:t xml:space="preserve">Media contacts: Sharon Lee – 0499 300 982 / </w:t>
      </w:r>
      <w:hyperlink r:id="rId12" w:history="1">
        <w:r w:rsidRPr="00B67D79">
          <w:rPr>
            <w:rStyle w:val="Hyperlink"/>
          </w:rPr>
          <w:t>sharon.lee@bsl.org.au</w:t>
        </w:r>
      </w:hyperlink>
      <w:r>
        <w:rPr>
          <w:b/>
        </w:rPr>
        <w:t xml:space="preserve"> – or Jeannie Zakharov – 0428 391 117 / </w:t>
      </w:r>
      <w:hyperlink r:id="rId13" w:history="1">
        <w:r w:rsidRPr="00B67D79">
          <w:rPr>
            <w:rStyle w:val="Hyperlink"/>
          </w:rPr>
          <w:t>jzakharov@bsl.org.au</w:t>
        </w:r>
      </w:hyperlink>
    </w:p>
    <w:bookmarkEnd w:id="1"/>
    <w:p w:rsidR="00B470B1" w:rsidRDefault="00B470B1" w:rsidP="00334A37">
      <w:pPr>
        <w:pStyle w:val="BodytextRPC"/>
        <w:spacing w:after="160" w:line="240" w:lineRule="auto"/>
      </w:pPr>
    </w:p>
    <w:p w:rsidR="009726D8" w:rsidRDefault="009726D8" w:rsidP="009726D8">
      <w:pPr>
        <w:pStyle w:val="Caption"/>
        <w:spacing w:after="120"/>
      </w:pPr>
      <w:r>
        <w:t>The worst youth unemployment hotspots for each state and territory</w:t>
      </w:r>
    </w:p>
    <w:p w:rsidR="001E5AFF" w:rsidRDefault="00360CFE" w:rsidP="00B77E74">
      <w:pPr>
        <w:pStyle w:val="Caption"/>
      </w:pPr>
      <w:r>
        <w:rPr>
          <w:rFonts w:eastAsia="Times New Roman"/>
          <w:noProof/>
          <w:lang w:eastAsia="en-AU"/>
        </w:rPr>
        <w:drawing>
          <wp:inline distT="0" distB="0" distL="0" distR="0" wp14:anchorId="7A68FBA5" wp14:editId="288AE9BF">
            <wp:extent cx="5731510" cy="3131727"/>
            <wp:effectExtent l="0" t="0" r="2540" b="0"/>
            <wp:docPr id="2" name="Picture 2" descr="cid:9be6a402-9437-4c5a-9768-0daf45bd83db@ausprd0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be6a402-9437-4c5a-9768-0daf45bd83db@ausprd01.prod.outlook.com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3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AFF" w:rsidSect="006E5B08">
      <w:footerReference w:type="default" r:id="rId16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C30" w:rsidRDefault="00280C30" w:rsidP="002152C9">
      <w:r>
        <w:separator/>
      </w:r>
    </w:p>
  </w:endnote>
  <w:endnote w:type="continuationSeparator" w:id="0">
    <w:p w:rsidR="00280C30" w:rsidRDefault="00280C30" w:rsidP="0021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9099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0C30" w:rsidRDefault="00280C3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56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56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0C30" w:rsidRDefault="00280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C30" w:rsidRDefault="00280C30" w:rsidP="002152C9">
      <w:r>
        <w:separator/>
      </w:r>
    </w:p>
  </w:footnote>
  <w:footnote w:type="continuationSeparator" w:id="0">
    <w:p w:rsidR="00280C30" w:rsidRDefault="00280C30" w:rsidP="00215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6124"/>
    <w:multiLevelType w:val="hybridMultilevel"/>
    <w:tmpl w:val="D0A01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B4F8C"/>
    <w:multiLevelType w:val="hybridMultilevel"/>
    <w:tmpl w:val="E59C1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7049"/>
    <w:multiLevelType w:val="hybridMultilevel"/>
    <w:tmpl w:val="30C45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3483F"/>
    <w:multiLevelType w:val="hybridMultilevel"/>
    <w:tmpl w:val="817632B2"/>
    <w:lvl w:ilvl="0" w:tplc="EB30566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3C14"/>
    <w:multiLevelType w:val="hybridMultilevel"/>
    <w:tmpl w:val="25326CA2"/>
    <w:lvl w:ilvl="0" w:tplc="4D5C1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3F29"/>
    <w:multiLevelType w:val="hybridMultilevel"/>
    <w:tmpl w:val="9048C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45719"/>
    <w:multiLevelType w:val="hybridMultilevel"/>
    <w:tmpl w:val="ABC2A396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5B75571A"/>
    <w:multiLevelType w:val="hybridMultilevel"/>
    <w:tmpl w:val="6EAAF37E"/>
    <w:lvl w:ilvl="0" w:tplc="B6EE4D2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805E7"/>
    <w:multiLevelType w:val="hybridMultilevel"/>
    <w:tmpl w:val="417EF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5127B"/>
    <w:multiLevelType w:val="hybridMultilevel"/>
    <w:tmpl w:val="7D78F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356"/>
    <w:rsid w:val="000402C8"/>
    <w:rsid w:val="00044DF4"/>
    <w:rsid w:val="000903DA"/>
    <w:rsid w:val="000B2D65"/>
    <w:rsid w:val="000C104A"/>
    <w:rsid w:val="000D5A4F"/>
    <w:rsid w:val="000E3901"/>
    <w:rsid w:val="00106CE1"/>
    <w:rsid w:val="00114274"/>
    <w:rsid w:val="00116512"/>
    <w:rsid w:val="00127966"/>
    <w:rsid w:val="00130F92"/>
    <w:rsid w:val="00136B46"/>
    <w:rsid w:val="0016379A"/>
    <w:rsid w:val="00185935"/>
    <w:rsid w:val="001A67F9"/>
    <w:rsid w:val="001B6463"/>
    <w:rsid w:val="001C38D8"/>
    <w:rsid w:val="001E5AFF"/>
    <w:rsid w:val="001E7B70"/>
    <w:rsid w:val="002060F6"/>
    <w:rsid w:val="002152C9"/>
    <w:rsid w:val="002354E4"/>
    <w:rsid w:val="00241E1F"/>
    <w:rsid w:val="00247E47"/>
    <w:rsid w:val="00254E2E"/>
    <w:rsid w:val="002712B0"/>
    <w:rsid w:val="00271D1D"/>
    <w:rsid w:val="0028011A"/>
    <w:rsid w:val="00280C30"/>
    <w:rsid w:val="00296312"/>
    <w:rsid w:val="002B737F"/>
    <w:rsid w:val="002B77CB"/>
    <w:rsid w:val="002C0131"/>
    <w:rsid w:val="002C5DD7"/>
    <w:rsid w:val="002D3EE3"/>
    <w:rsid w:val="002F7784"/>
    <w:rsid w:val="00334A37"/>
    <w:rsid w:val="0034080D"/>
    <w:rsid w:val="00346051"/>
    <w:rsid w:val="00360CFE"/>
    <w:rsid w:val="003B4A57"/>
    <w:rsid w:val="003E5E94"/>
    <w:rsid w:val="004017C7"/>
    <w:rsid w:val="0047297C"/>
    <w:rsid w:val="00484090"/>
    <w:rsid w:val="0048699A"/>
    <w:rsid w:val="0049107A"/>
    <w:rsid w:val="004A0A41"/>
    <w:rsid w:val="004F6E65"/>
    <w:rsid w:val="00521278"/>
    <w:rsid w:val="005259D3"/>
    <w:rsid w:val="00531F4F"/>
    <w:rsid w:val="00540A72"/>
    <w:rsid w:val="005426FD"/>
    <w:rsid w:val="005A2CE4"/>
    <w:rsid w:val="005B0FBD"/>
    <w:rsid w:val="0060390B"/>
    <w:rsid w:val="00605759"/>
    <w:rsid w:val="00614A95"/>
    <w:rsid w:val="00614E7B"/>
    <w:rsid w:val="006259B6"/>
    <w:rsid w:val="00626487"/>
    <w:rsid w:val="006828FA"/>
    <w:rsid w:val="00691C7B"/>
    <w:rsid w:val="006B043C"/>
    <w:rsid w:val="006B5FFB"/>
    <w:rsid w:val="006E288F"/>
    <w:rsid w:val="006E5B08"/>
    <w:rsid w:val="006F57AF"/>
    <w:rsid w:val="006F61C1"/>
    <w:rsid w:val="0070579F"/>
    <w:rsid w:val="007127A3"/>
    <w:rsid w:val="00732622"/>
    <w:rsid w:val="00753253"/>
    <w:rsid w:val="00797688"/>
    <w:rsid w:val="007A7BA9"/>
    <w:rsid w:val="007B757E"/>
    <w:rsid w:val="007C37DF"/>
    <w:rsid w:val="007F1B9C"/>
    <w:rsid w:val="00813CC4"/>
    <w:rsid w:val="008252FA"/>
    <w:rsid w:val="00856D50"/>
    <w:rsid w:val="008831D5"/>
    <w:rsid w:val="008B4358"/>
    <w:rsid w:val="008D0CDA"/>
    <w:rsid w:val="008F08BC"/>
    <w:rsid w:val="0090159A"/>
    <w:rsid w:val="00935601"/>
    <w:rsid w:val="009522EB"/>
    <w:rsid w:val="009536FF"/>
    <w:rsid w:val="0096189C"/>
    <w:rsid w:val="00967A7E"/>
    <w:rsid w:val="009726D8"/>
    <w:rsid w:val="009C427E"/>
    <w:rsid w:val="00A004C4"/>
    <w:rsid w:val="00A038B8"/>
    <w:rsid w:val="00A04DEF"/>
    <w:rsid w:val="00A12DE5"/>
    <w:rsid w:val="00A13B3C"/>
    <w:rsid w:val="00A1787D"/>
    <w:rsid w:val="00A25016"/>
    <w:rsid w:val="00A25865"/>
    <w:rsid w:val="00A32ECC"/>
    <w:rsid w:val="00A63637"/>
    <w:rsid w:val="00AA3204"/>
    <w:rsid w:val="00AD5484"/>
    <w:rsid w:val="00AF1356"/>
    <w:rsid w:val="00AF17E9"/>
    <w:rsid w:val="00B13CD8"/>
    <w:rsid w:val="00B34753"/>
    <w:rsid w:val="00B4188F"/>
    <w:rsid w:val="00B42703"/>
    <w:rsid w:val="00B470B1"/>
    <w:rsid w:val="00B643FD"/>
    <w:rsid w:val="00B77E74"/>
    <w:rsid w:val="00B93879"/>
    <w:rsid w:val="00C01F4A"/>
    <w:rsid w:val="00C5428F"/>
    <w:rsid w:val="00C63F9A"/>
    <w:rsid w:val="00C66D48"/>
    <w:rsid w:val="00C77AD7"/>
    <w:rsid w:val="00C8494F"/>
    <w:rsid w:val="00C946EB"/>
    <w:rsid w:val="00CB55E3"/>
    <w:rsid w:val="00CC1939"/>
    <w:rsid w:val="00CD01BA"/>
    <w:rsid w:val="00D0152C"/>
    <w:rsid w:val="00D01978"/>
    <w:rsid w:val="00D673ED"/>
    <w:rsid w:val="00D7592C"/>
    <w:rsid w:val="00D773F6"/>
    <w:rsid w:val="00DD0F93"/>
    <w:rsid w:val="00DD101C"/>
    <w:rsid w:val="00DF288E"/>
    <w:rsid w:val="00DF5FE4"/>
    <w:rsid w:val="00E12BEA"/>
    <w:rsid w:val="00E20211"/>
    <w:rsid w:val="00E358DC"/>
    <w:rsid w:val="00E4221D"/>
    <w:rsid w:val="00E46A50"/>
    <w:rsid w:val="00E53B14"/>
    <w:rsid w:val="00E63CB3"/>
    <w:rsid w:val="00E64123"/>
    <w:rsid w:val="00EA0760"/>
    <w:rsid w:val="00EA4BB7"/>
    <w:rsid w:val="00F031A1"/>
    <w:rsid w:val="00F062FA"/>
    <w:rsid w:val="00F2001F"/>
    <w:rsid w:val="00F64A56"/>
    <w:rsid w:val="00FA7CC5"/>
    <w:rsid w:val="00FB6725"/>
    <w:rsid w:val="00FC54FA"/>
    <w:rsid w:val="00FC56BC"/>
    <w:rsid w:val="00FD6A7E"/>
    <w:rsid w:val="00FF46F9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D3E5"/>
  <w15:docId w15:val="{DCDABC41-4275-4D56-ADAD-9864989F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76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760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2C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15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2C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B2D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2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17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7E9"/>
    <w:rPr>
      <w:color w:val="954F72" w:themeColor="followedHyperlink"/>
      <w:u w:val="single"/>
    </w:rPr>
  </w:style>
  <w:style w:type="character" w:customStyle="1" w:styleId="BodytextRPCChar">
    <w:name w:val="Body text RPC Char"/>
    <w:basedOn w:val="DefaultParagraphFont"/>
    <w:link w:val="BodytextRPC"/>
    <w:locked/>
    <w:rsid w:val="00B77E74"/>
    <w:rPr>
      <w:rFonts w:ascii="Calibri" w:eastAsia="Calibri" w:hAnsi="Calibri" w:cs="Calibri"/>
      <w:szCs w:val="20"/>
    </w:rPr>
  </w:style>
  <w:style w:type="paragraph" w:customStyle="1" w:styleId="BodytextRPC">
    <w:name w:val="Body text RPC"/>
    <w:basedOn w:val="Normal"/>
    <w:link w:val="BodytextRPCChar"/>
    <w:qFormat/>
    <w:rsid w:val="00B77E74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TabletextRPCChar">
    <w:name w:val="Table text RPC Char"/>
    <w:basedOn w:val="BodytextRPCChar"/>
    <w:link w:val="TabletextRPC"/>
    <w:uiPriority w:val="99"/>
    <w:locked/>
    <w:rsid w:val="00B77E74"/>
    <w:rPr>
      <w:rFonts w:ascii="Calibri" w:eastAsia="Calibri" w:hAnsi="Calibri" w:cs="Calibri"/>
      <w:sz w:val="20"/>
      <w:szCs w:val="20"/>
    </w:rPr>
  </w:style>
  <w:style w:type="paragraph" w:customStyle="1" w:styleId="TabletextRPC">
    <w:name w:val="Table text RPC"/>
    <w:basedOn w:val="BodytextRPC"/>
    <w:link w:val="TabletextRPCChar"/>
    <w:uiPriority w:val="99"/>
    <w:qFormat/>
    <w:rsid w:val="00B77E74"/>
    <w:pPr>
      <w:spacing w:before="100" w:after="100"/>
    </w:pPr>
    <w:rPr>
      <w:sz w:val="20"/>
    </w:rPr>
  </w:style>
  <w:style w:type="paragraph" w:customStyle="1" w:styleId="SourceRPC">
    <w:name w:val="Source RPC"/>
    <w:basedOn w:val="BodytextRPC"/>
    <w:next w:val="BodytextRPC"/>
    <w:uiPriority w:val="99"/>
    <w:qFormat/>
    <w:rsid w:val="00B77E74"/>
    <w:rPr>
      <w:sz w:val="20"/>
    </w:rPr>
  </w:style>
  <w:style w:type="paragraph" w:styleId="Caption">
    <w:name w:val="caption"/>
    <w:aliases w:val="Caption RPC"/>
    <w:basedOn w:val="BodytextRPC"/>
    <w:next w:val="BodytextRPC"/>
    <w:uiPriority w:val="99"/>
    <w:semiHidden/>
    <w:unhideWhenUsed/>
    <w:qFormat/>
    <w:rsid w:val="00B77E74"/>
    <w:pPr>
      <w:keepNext/>
      <w:spacing w:after="0"/>
    </w:pPr>
    <w:rPr>
      <w:b/>
      <w:bCs/>
      <w:szCs w:val="18"/>
    </w:rPr>
  </w:style>
  <w:style w:type="paragraph" w:styleId="NormalWeb">
    <w:name w:val="Normal (Web)"/>
    <w:basedOn w:val="Normal"/>
    <w:uiPriority w:val="99"/>
    <w:semiHidden/>
    <w:unhideWhenUsed/>
    <w:rsid w:val="00B77E74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0B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53B1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C5428F"/>
    <w:rPr>
      <w:rFonts w:ascii="Calibri" w:eastAsiaTheme="minorHAns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5428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zakharov@bsl.org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aron.lee@bsl.org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GDY08qKcbw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9be6a402-9437-4c5a-9768-0daf45bd83db@ausprd01.prod.outlook.com" TargetMode="External"/><Relationship Id="rId10" Type="http://schemas.openxmlformats.org/officeDocument/2006/relationships/hyperlink" Target="http://library.bsl.org.au/showitem.php?handle=1/11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bsl.org.au/showitem.php?handle=1/11134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F60D8-B182-4FE2-BA49-54A4928D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BSL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Zakharov</dc:creator>
  <cp:keywords/>
  <dc:description/>
  <cp:lastModifiedBy>Jeannie Zakharov</cp:lastModifiedBy>
  <cp:revision>77</cp:revision>
  <cp:lastPrinted>2019-03-03T07:31:00Z</cp:lastPrinted>
  <dcterms:created xsi:type="dcterms:W3CDTF">2018-03-19T22:21:00Z</dcterms:created>
  <dcterms:modified xsi:type="dcterms:W3CDTF">2019-03-03T10:50:00Z</dcterms:modified>
</cp:coreProperties>
</file>