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DF3C" w14:textId="396B1534" w:rsidR="00442D26" w:rsidRPr="009B6DF4" w:rsidRDefault="00E22135" w:rsidP="00067689">
      <w:pPr>
        <w:spacing w:after="240"/>
        <w:jc w:val="right"/>
        <w:rPr>
          <w:rFonts w:asciiTheme="minorHAnsi" w:hAnsiTheme="minorHAnsi" w:cstheme="minorHAnsi"/>
        </w:rPr>
      </w:pPr>
      <w:r w:rsidRPr="00521CE2">
        <w:rPr>
          <w:rFonts w:asciiTheme="minorHAnsi" w:hAnsiTheme="minorHAnsi" w:cstheme="minorHAnsi"/>
        </w:rPr>
        <w:t xml:space="preserve">May </w:t>
      </w:r>
      <w:r w:rsidR="000467C9">
        <w:rPr>
          <w:rFonts w:asciiTheme="minorHAnsi" w:hAnsiTheme="minorHAnsi" w:cstheme="minorHAnsi"/>
        </w:rPr>
        <w:t>16</w:t>
      </w:r>
      <w:r w:rsidRPr="00521CE2">
        <w:rPr>
          <w:rFonts w:asciiTheme="minorHAnsi" w:hAnsiTheme="minorHAnsi" w:cstheme="minorHAnsi"/>
        </w:rPr>
        <w:t>, 2019</w:t>
      </w:r>
    </w:p>
    <w:p w14:paraId="6B98508B" w14:textId="381AF39D" w:rsidR="00E06FEE" w:rsidRPr="009B6DF4" w:rsidRDefault="00C57E95" w:rsidP="00EB28AD">
      <w:pPr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bj594wlgt9lm" w:colFirst="0" w:colLast="0"/>
      <w:bookmarkEnd w:id="0"/>
      <w:r w:rsidRPr="00C57E95">
        <w:rPr>
          <w:rFonts w:asciiTheme="minorHAnsi" w:hAnsiTheme="minorHAnsi" w:cstheme="minorHAnsi"/>
          <w:b/>
          <w:sz w:val="28"/>
          <w:szCs w:val="28"/>
        </w:rPr>
        <w:t xml:space="preserve">Interest rate cuts </w:t>
      </w:r>
      <w:r w:rsidR="00740389">
        <w:rPr>
          <w:rFonts w:asciiTheme="minorHAnsi" w:hAnsiTheme="minorHAnsi" w:cstheme="minorHAnsi"/>
          <w:b/>
          <w:sz w:val="28"/>
          <w:szCs w:val="28"/>
        </w:rPr>
        <w:t xml:space="preserve">and election results </w:t>
      </w:r>
      <w:r w:rsidRPr="00C57E95">
        <w:rPr>
          <w:rFonts w:asciiTheme="minorHAnsi" w:hAnsiTheme="minorHAnsi" w:cstheme="minorHAnsi"/>
          <w:b/>
          <w:sz w:val="28"/>
          <w:szCs w:val="28"/>
        </w:rPr>
        <w:t>key</w:t>
      </w:r>
      <w:r w:rsidR="00D77EAD">
        <w:rPr>
          <w:rFonts w:asciiTheme="minorHAnsi" w:hAnsiTheme="minorHAnsi" w:cstheme="minorHAnsi"/>
          <w:b/>
          <w:sz w:val="28"/>
          <w:szCs w:val="28"/>
        </w:rPr>
        <w:t>s</w:t>
      </w:r>
      <w:r w:rsidRPr="00C57E95">
        <w:rPr>
          <w:rFonts w:asciiTheme="minorHAnsi" w:hAnsiTheme="minorHAnsi" w:cstheme="minorHAnsi"/>
          <w:b/>
          <w:sz w:val="28"/>
          <w:szCs w:val="28"/>
        </w:rPr>
        <w:t xml:space="preserve"> to property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7743">
        <w:rPr>
          <w:rFonts w:asciiTheme="minorHAnsi" w:hAnsiTheme="minorHAnsi" w:cstheme="minorHAnsi"/>
          <w:b/>
          <w:sz w:val="28"/>
          <w:szCs w:val="28"/>
        </w:rPr>
        <w:t>market</w:t>
      </w:r>
    </w:p>
    <w:p w14:paraId="1EC73B26" w14:textId="25A75542" w:rsidR="00EB28AD" w:rsidRPr="00EB28AD" w:rsidRDefault="00EB28AD" w:rsidP="00EB28A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71806D88" w14:textId="77777777" w:rsidR="005709DC" w:rsidRDefault="005709DC" w:rsidP="00E22135">
      <w:pP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T</w:t>
      </w:r>
      <w:r w:rsidR="00E22135" w:rsidRPr="00E22135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he property market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will </w:t>
      </w:r>
      <w:r w:rsidR="00E22135" w:rsidRPr="00E22135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remain weak well into 2020 unless the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RBA cuts </w:t>
      </w:r>
      <w:r w:rsidR="00E22135" w:rsidRPr="00E22135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interest rate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s and these are </w:t>
      </w:r>
      <w:r w:rsidR="00E22135" w:rsidRPr="00E22135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passed on by the banks. </w:t>
      </w:r>
    </w:p>
    <w:p w14:paraId="2A4F978F" w14:textId="77777777" w:rsidR="005709DC" w:rsidRDefault="005709DC" w:rsidP="00E22135">
      <w:pPr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bookmarkStart w:id="1" w:name="_GoBack"/>
      <w:bookmarkEnd w:id="1"/>
    </w:p>
    <w:p w14:paraId="060740CF" w14:textId="393CB1D0" w:rsidR="005709DC" w:rsidRDefault="005709DC" w:rsidP="00E22135">
      <w:pP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However, it was the introduction of lending restrictions by APRA</w:t>
      </w:r>
      <w:r w:rsidR="000508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,</w:t>
      </w:r>
      <w:r w:rsidR="000508DC" w:rsidRPr="000508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508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followed by the greater </w:t>
      </w:r>
      <w:proofErr w:type="spellStart"/>
      <w:r w:rsidR="000508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scrutinisation</w:t>
      </w:r>
      <w:proofErr w:type="spellEnd"/>
      <w:r w:rsidR="000508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of  loan applications as a result of the Royal Commission,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that was the catalyst for the downturn, says </w:t>
      </w:r>
      <w:r w:rsidR="00340768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Doron Peleg, CEO of </w:t>
      </w:r>
      <w:hyperlink r:id="rId10" w:history="1">
        <w:proofErr w:type="spellStart"/>
        <w:r w:rsidRPr="005709DC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</w:rPr>
          <w:t>RiskWise</w:t>
        </w:r>
        <w:proofErr w:type="spellEnd"/>
        <w:r w:rsidRPr="005709DC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</w:rPr>
          <w:t xml:space="preserve"> Property Research</w:t>
        </w:r>
      </w:hyperlink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40768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which has just released its latest </w:t>
      </w:r>
      <w:r w:rsidR="00340768" w:rsidRPr="00340768">
        <w:rPr>
          <w:rFonts w:asciiTheme="minorHAnsi" w:hAnsiTheme="minorHAnsi" w:cstheme="minorHAnsi"/>
          <w:b/>
          <w:color w:val="000000" w:themeColor="text1"/>
          <w:sz w:val="18"/>
          <w:szCs w:val="18"/>
          <w:shd w:val="clear" w:color="auto" w:fill="FFFFFF"/>
        </w:rPr>
        <w:t>Quarterly Risks &amp; Opportunities Report</w:t>
      </w:r>
      <w:r w:rsidR="00340768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. </w:t>
      </w:r>
    </w:p>
    <w:p w14:paraId="4B7DEB36" w14:textId="77777777" w:rsidR="005709DC" w:rsidRDefault="005709DC" w:rsidP="00E22135">
      <w:pP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</w:p>
    <w:p w14:paraId="52C22C6C" w14:textId="6E06EC3D" w:rsidR="005709DC" w:rsidRDefault="005709DC" w:rsidP="005709DC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He said </w:t>
      </w:r>
      <w:r w:rsidR="00E22135" w:rsidRPr="005709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tighter lending standards, the 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findings</w:t>
      </w:r>
      <w:r w:rsidR="00E22135" w:rsidRPr="005709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of the Banking Royal Commission,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E22135" w:rsidRPr="005709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political uncertainty, fears of the potential changes to negative gearing and capital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E22135" w:rsidRPr="005709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gains tax, </w:t>
      </w:r>
      <w:r w:rsidRPr="005709DC">
        <w:rPr>
          <w:rFonts w:asciiTheme="minorHAnsi" w:hAnsiTheme="minorHAnsi" w:cstheme="minorHAnsi"/>
          <w:sz w:val="18"/>
          <w:szCs w:val="18"/>
        </w:rPr>
        <w:t>restrictions on foreign investors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5709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E22135" w:rsidRPr="005709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unit oversupply and large falls in dwelling commencements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had all had a </w:t>
      </w:r>
      <w:r w:rsidRPr="00E22135">
        <w:rPr>
          <w:rFonts w:asciiTheme="minorHAnsi" w:hAnsiTheme="minorHAnsi" w:cstheme="minorHAnsi"/>
          <w:sz w:val="18"/>
          <w:szCs w:val="18"/>
        </w:rPr>
        <w:t>material impact on the property market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8C46C57" w14:textId="427CF962" w:rsidR="005709DC" w:rsidRDefault="005709DC" w:rsidP="005709DC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E98E80B" w14:textId="3569B0DA" w:rsidR="009F5548" w:rsidRDefault="009F5548" w:rsidP="005709DC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</w:t>
      </w:r>
      <w:r w:rsidR="005709DC" w:rsidRPr="005709DC">
        <w:rPr>
          <w:rFonts w:asciiTheme="minorHAnsi" w:hAnsiTheme="minorHAnsi" w:cstheme="minorHAnsi"/>
          <w:sz w:val="18"/>
          <w:szCs w:val="18"/>
        </w:rPr>
        <w:t>The major risks associated with residential property have, and continue to be,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709DC" w:rsidRPr="005709DC">
        <w:rPr>
          <w:rFonts w:asciiTheme="minorHAnsi" w:hAnsiTheme="minorHAnsi" w:cstheme="minorHAnsi"/>
          <w:sz w:val="18"/>
          <w:szCs w:val="18"/>
        </w:rPr>
        <w:t>significantly increased</w:t>
      </w:r>
      <w:r w:rsidR="00740389">
        <w:rPr>
          <w:rFonts w:asciiTheme="minorHAnsi" w:hAnsiTheme="minorHAnsi" w:cstheme="minorHAnsi"/>
          <w:sz w:val="18"/>
          <w:szCs w:val="18"/>
        </w:rPr>
        <w:t xml:space="preserve"> in comparison to the risk levels in the long term</w:t>
      </w:r>
      <w:r>
        <w:rPr>
          <w:rFonts w:asciiTheme="minorHAnsi" w:hAnsiTheme="minorHAnsi" w:cstheme="minorHAnsi"/>
          <w:sz w:val="18"/>
          <w:szCs w:val="18"/>
        </w:rPr>
        <w:t>,” he said</w:t>
      </w:r>
      <w:r w:rsidR="005709DC" w:rsidRPr="005709DC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48AB1FC" w14:textId="77777777" w:rsidR="009F5548" w:rsidRDefault="009F5548" w:rsidP="005709DC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988185C" w14:textId="77777777" w:rsidR="009F5548" w:rsidRDefault="009F5548" w:rsidP="005709DC">
      <w:pPr>
        <w:autoSpaceDE w:val="0"/>
        <w:autoSpaceDN w:val="0"/>
        <w:adjustRightInd w:val="0"/>
      </w:pPr>
      <w:r>
        <w:rPr>
          <w:rFonts w:asciiTheme="minorHAnsi" w:hAnsiTheme="minorHAnsi" w:cstheme="minorHAnsi"/>
          <w:sz w:val="18"/>
          <w:szCs w:val="18"/>
        </w:rPr>
        <w:t>“</w:t>
      </w:r>
      <w:r w:rsidR="005709DC" w:rsidRPr="005709DC">
        <w:rPr>
          <w:rFonts w:asciiTheme="minorHAnsi" w:hAnsiTheme="minorHAnsi" w:cstheme="minorHAnsi"/>
          <w:sz w:val="18"/>
          <w:szCs w:val="18"/>
        </w:rPr>
        <w:t>This is due to a combination of factors that are changing the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709DC" w:rsidRPr="005709DC">
        <w:rPr>
          <w:rFonts w:asciiTheme="minorHAnsi" w:hAnsiTheme="minorHAnsi" w:cstheme="minorHAnsi"/>
          <w:sz w:val="18"/>
          <w:szCs w:val="18"/>
        </w:rPr>
        <w:t>face of the property landscape with no price increases and significant improvement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709DC" w:rsidRPr="005709DC">
        <w:rPr>
          <w:rFonts w:asciiTheme="minorHAnsi" w:hAnsiTheme="minorHAnsi" w:cstheme="minorHAnsi"/>
          <w:sz w:val="18"/>
          <w:szCs w:val="18"/>
        </w:rPr>
        <w:t>expected until at least the end of 2020.</w:t>
      </w:r>
      <w:r w:rsidR="005709DC" w:rsidRPr="005709DC">
        <w:t xml:space="preserve"> </w:t>
      </w:r>
    </w:p>
    <w:p w14:paraId="5058E6C2" w14:textId="77777777" w:rsidR="009F5548" w:rsidRDefault="009F5548" w:rsidP="005709DC">
      <w:pPr>
        <w:autoSpaceDE w:val="0"/>
        <w:autoSpaceDN w:val="0"/>
        <w:adjustRightInd w:val="0"/>
      </w:pPr>
    </w:p>
    <w:p w14:paraId="0F232906" w14:textId="4DEC010F" w:rsidR="002623C4" w:rsidRDefault="009F5548" w:rsidP="00F236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“T</w:t>
      </w:r>
      <w:r w:rsidR="005709DC" w:rsidRPr="005709DC">
        <w:rPr>
          <w:rFonts w:asciiTheme="minorHAnsi" w:hAnsiTheme="minorHAnsi" w:cstheme="minorHAnsi"/>
          <w:sz w:val="18"/>
          <w:szCs w:val="18"/>
        </w:rPr>
        <w:t>he</w:t>
      </w:r>
      <w:r>
        <w:rPr>
          <w:rFonts w:asciiTheme="minorHAnsi" w:hAnsiTheme="minorHAnsi" w:cstheme="minorHAnsi"/>
          <w:sz w:val="18"/>
          <w:szCs w:val="18"/>
        </w:rPr>
        <w:t xml:space="preserve">re’s an 80 per cent chance the ALP will come into power at the forthcoming Federal election and this </w:t>
      </w:r>
      <w:r w:rsidR="002623C4">
        <w:rPr>
          <w:rFonts w:asciiTheme="minorHAnsi" w:hAnsiTheme="minorHAnsi" w:cstheme="minorHAnsi"/>
          <w:sz w:val="18"/>
          <w:szCs w:val="18"/>
        </w:rPr>
        <w:t xml:space="preserve">win </w:t>
      </w:r>
      <w:r>
        <w:rPr>
          <w:rFonts w:asciiTheme="minorHAnsi" w:hAnsiTheme="minorHAnsi" w:cstheme="minorHAnsi"/>
          <w:sz w:val="18"/>
          <w:szCs w:val="18"/>
        </w:rPr>
        <w:t>will</w:t>
      </w:r>
      <w:r w:rsidR="002623C4">
        <w:rPr>
          <w:rFonts w:asciiTheme="minorHAnsi" w:hAnsiTheme="minorHAnsi" w:cstheme="minorHAnsi"/>
          <w:sz w:val="18"/>
          <w:szCs w:val="18"/>
        </w:rPr>
        <w:t xml:space="preserve"> see the implementation of their policy to </w:t>
      </w:r>
      <w:r w:rsidR="005709DC" w:rsidRPr="005709DC">
        <w:rPr>
          <w:rFonts w:asciiTheme="minorHAnsi" w:hAnsiTheme="minorHAnsi" w:cstheme="minorHAnsi"/>
          <w:sz w:val="18"/>
          <w:szCs w:val="18"/>
        </w:rPr>
        <w:t>limit negative gearing to new housing only and reduc</w:t>
      </w:r>
      <w:r w:rsidR="002623C4">
        <w:rPr>
          <w:rFonts w:asciiTheme="minorHAnsi" w:hAnsiTheme="minorHAnsi" w:cstheme="minorHAnsi"/>
          <w:sz w:val="18"/>
          <w:szCs w:val="18"/>
        </w:rPr>
        <w:t>e</w:t>
      </w:r>
      <w:r w:rsidR="005709DC" w:rsidRPr="005709DC">
        <w:rPr>
          <w:rFonts w:asciiTheme="minorHAnsi" w:hAnsiTheme="minorHAnsi" w:cstheme="minorHAnsi"/>
          <w:sz w:val="18"/>
          <w:szCs w:val="18"/>
        </w:rPr>
        <w:t xml:space="preserve"> the discount on</w:t>
      </w:r>
      <w:r w:rsidR="002623C4">
        <w:rPr>
          <w:rFonts w:asciiTheme="minorHAnsi" w:hAnsiTheme="minorHAnsi" w:cstheme="minorHAnsi"/>
          <w:sz w:val="18"/>
          <w:szCs w:val="18"/>
        </w:rPr>
        <w:t xml:space="preserve"> </w:t>
      </w:r>
      <w:r w:rsidR="005709DC" w:rsidRPr="005709DC">
        <w:rPr>
          <w:rFonts w:asciiTheme="minorHAnsi" w:hAnsiTheme="minorHAnsi" w:cstheme="minorHAnsi"/>
          <w:sz w:val="18"/>
          <w:szCs w:val="18"/>
        </w:rPr>
        <w:t>capital gains tax from the current 50 per cent to 25 per cent</w:t>
      </w:r>
      <w:r w:rsidR="00F23685">
        <w:rPr>
          <w:rFonts w:asciiTheme="minorHAnsi" w:hAnsiTheme="minorHAnsi" w:cstheme="minorHAnsi"/>
          <w:sz w:val="18"/>
          <w:szCs w:val="18"/>
        </w:rPr>
        <w:t xml:space="preserve"> to</w:t>
      </w:r>
      <w:r w:rsidR="00F23685" w:rsidRPr="00F23685">
        <w:t xml:space="preserve"> </w:t>
      </w:r>
      <w:r w:rsidR="00F23685" w:rsidRPr="00F23685">
        <w:rPr>
          <w:rFonts w:asciiTheme="minorHAnsi" w:hAnsiTheme="minorHAnsi" w:cstheme="minorHAnsi"/>
          <w:sz w:val="18"/>
          <w:szCs w:val="18"/>
        </w:rPr>
        <w:t>come into</w:t>
      </w:r>
      <w:r w:rsidR="00F23685">
        <w:rPr>
          <w:rFonts w:asciiTheme="minorHAnsi" w:hAnsiTheme="minorHAnsi" w:cstheme="minorHAnsi"/>
          <w:sz w:val="18"/>
          <w:szCs w:val="18"/>
        </w:rPr>
        <w:t xml:space="preserve"> </w:t>
      </w:r>
      <w:r w:rsidR="00F23685" w:rsidRPr="00F23685">
        <w:rPr>
          <w:rFonts w:asciiTheme="minorHAnsi" w:hAnsiTheme="minorHAnsi" w:cstheme="minorHAnsi"/>
          <w:sz w:val="18"/>
          <w:szCs w:val="18"/>
        </w:rPr>
        <w:t>effect on January 1, 2020</w:t>
      </w:r>
      <w:r w:rsidR="002623C4">
        <w:rPr>
          <w:rFonts w:asciiTheme="minorHAnsi" w:hAnsiTheme="minorHAnsi" w:cstheme="minorHAnsi"/>
          <w:sz w:val="18"/>
          <w:szCs w:val="18"/>
        </w:rPr>
        <w:t>.</w:t>
      </w:r>
      <w:r w:rsidR="00AF60E8">
        <w:rPr>
          <w:rFonts w:asciiTheme="minorHAnsi" w:hAnsiTheme="minorHAnsi" w:cstheme="minorHAnsi"/>
          <w:sz w:val="18"/>
          <w:szCs w:val="18"/>
        </w:rPr>
        <w:t xml:space="preserve"> This will simply make property investment, in both existing and new dwellings</w:t>
      </w:r>
      <w:r w:rsidR="000508DC">
        <w:rPr>
          <w:rFonts w:asciiTheme="minorHAnsi" w:hAnsiTheme="minorHAnsi" w:cstheme="minorHAnsi"/>
          <w:sz w:val="18"/>
          <w:szCs w:val="18"/>
        </w:rPr>
        <w:t>, b</w:t>
      </w:r>
      <w:r w:rsidR="00AF60E8">
        <w:rPr>
          <w:rFonts w:asciiTheme="minorHAnsi" w:hAnsiTheme="minorHAnsi" w:cstheme="minorHAnsi"/>
          <w:sz w:val="18"/>
          <w:szCs w:val="18"/>
        </w:rPr>
        <w:t xml:space="preserve">y far less attractive. </w:t>
      </w:r>
    </w:p>
    <w:p w14:paraId="6DB4089E" w14:textId="2EBB8A5D" w:rsidR="007B1787" w:rsidRDefault="007B1787" w:rsidP="00F236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BB7DA17" w14:textId="28B1D95C" w:rsidR="007B1787" w:rsidRPr="005709DC" w:rsidRDefault="007B1787" w:rsidP="007B178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</w:t>
      </w:r>
      <w:proofErr w:type="spellStart"/>
      <w:r>
        <w:rPr>
          <w:rFonts w:asciiTheme="minorHAnsi" w:hAnsiTheme="minorHAnsi" w:cstheme="minorHAnsi"/>
          <w:sz w:val="18"/>
          <w:szCs w:val="18"/>
        </w:rPr>
        <w:t>RiskWise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787">
        <w:rPr>
          <w:rFonts w:asciiTheme="minorHAnsi" w:hAnsiTheme="minorHAnsi" w:cstheme="minorHAnsi"/>
          <w:sz w:val="18"/>
          <w:szCs w:val="18"/>
        </w:rPr>
        <w:t>demonstrated that fears of the proposed changes have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787">
        <w:rPr>
          <w:rFonts w:asciiTheme="minorHAnsi" w:hAnsiTheme="minorHAnsi" w:cstheme="minorHAnsi"/>
          <w:sz w:val="18"/>
          <w:szCs w:val="18"/>
        </w:rPr>
        <w:t>already impacted the market</w:t>
      </w:r>
      <w:r>
        <w:rPr>
          <w:rFonts w:asciiTheme="minorHAnsi" w:hAnsiTheme="minorHAnsi" w:cstheme="minorHAnsi"/>
          <w:sz w:val="18"/>
          <w:szCs w:val="18"/>
        </w:rPr>
        <w:t xml:space="preserve"> with p</w:t>
      </w:r>
      <w:r w:rsidRPr="007B1787">
        <w:rPr>
          <w:rFonts w:asciiTheme="minorHAnsi" w:hAnsiTheme="minorHAnsi" w:cstheme="minorHAnsi"/>
          <w:sz w:val="18"/>
          <w:szCs w:val="18"/>
        </w:rPr>
        <w:t>rice reductions accelerat</w:t>
      </w:r>
      <w:r>
        <w:rPr>
          <w:rFonts w:asciiTheme="minorHAnsi" w:hAnsiTheme="minorHAnsi" w:cstheme="minorHAnsi"/>
          <w:sz w:val="18"/>
          <w:szCs w:val="18"/>
        </w:rPr>
        <w:t>ing</w:t>
      </w:r>
      <w:r w:rsidRPr="007B1787">
        <w:rPr>
          <w:rFonts w:asciiTheme="minorHAnsi" w:hAnsiTheme="minorHAnsi" w:cstheme="minorHAnsi"/>
          <w:sz w:val="18"/>
          <w:szCs w:val="18"/>
        </w:rPr>
        <w:t xml:space="preserve"> following the Liberal Party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787">
        <w:rPr>
          <w:rFonts w:asciiTheme="minorHAnsi" w:hAnsiTheme="minorHAnsi" w:cstheme="minorHAnsi"/>
          <w:sz w:val="18"/>
          <w:szCs w:val="18"/>
        </w:rPr>
        <w:t xml:space="preserve">leadership spill in August last year. In addition, auction clearance rates dropped below 50 per cent </w:t>
      </w:r>
      <w:r w:rsidR="00740389">
        <w:rPr>
          <w:rFonts w:asciiTheme="minorHAnsi" w:hAnsiTheme="minorHAnsi" w:cstheme="minorHAnsi"/>
          <w:sz w:val="18"/>
          <w:szCs w:val="18"/>
        </w:rPr>
        <w:t xml:space="preserve">towards the end of 2018 </w:t>
      </w:r>
      <w:r w:rsidRPr="007B1787">
        <w:rPr>
          <w:rFonts w:asciiTheme="minorHAnsi" w:hAnsiTheme="minorHAnsi" w:cstheme="minorHAnsi"/>
          <w:sz w:val="18"/>
          <w:szCs w:val="18"/>
        </w:rPr>
        <w:t>in both Sydney and Melbourne and are currently in the low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787">
        <w:rPr>
          <w:rFonts w:asciiTheme="minorHAnsi" w:hAnsiTheme="minorHAnsi" w:cstheme="minorHAnsi"/>
          <w:sz w:val="18"/>
          <w:szCs w:val="18"/>
        </w:rPr>
        <w:t>to mid-50s.</w:t>
      </w:r>
      <w:r>
        <w:rPr>
          <w:rFonts w:asciiTheme="minorHAnsi" w:hAnsiTheme="minorHAnsi" w:cstheme="minorHAnsi"/>
          <w:sz w:val="18"/>
          <w:szCs w:val="18"/>
        </w:rPr>
        <w:t>”</w:t>
      </w:r>
    </w:p>
    <w:p w14:paraId="4F77EBC8" w14:textId="19B4FEB9" w:rsidR="005709DC" w:rsidRDefault="005709DC" w:rsidP="005709DC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33A23B5" w14:textId="1950B6AE" w:rsidR="00DE1B8E" w:rsidRDefault="00DE1B8E" w:rsidP="00DE1B8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Mr Peleg said </w:t>
      </w:r>
      <w:r w:rsidRPr="00DE1B8E">
        <w:rPr>
          <w:rFonts w:asciiTheme="minorHAnsi" w:hAnsiTheme="minorHAnsi" w:cstheme="minorHAnsi"/>
          <w:sz w:val="18"/>
          <w:szCs w:val="18"/>
        </w:rPr>
        <w:t>buyer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E1B8E">
        <w:rPr>
          <w:rFonts w:asciiTheme="minorHAnsi" w:hAnsiTheme="minorHAnsi" w:cstheme="minorHAnsi"/>
          <w:sz w:val="18"/>
          <w:szCs w:val="18"/>
        </w:rPr>
        <w:t xml:space="preserve">sentiment </w:t>
      </w:r>
      <w:r>
        <w:rPr>
          <w:rFonts w:asciiTheme="minorHAnsi" w:hAnsiTheme="minorHAnsi" w:cstheme="minorHAnsi"/>
          <w:sz w:val="18"/>
          <w:szCs w:val="18"/>
        </w:rPr>
        <w:t xml:space="preserve">had been greatly diminished with </w:t>
      </w:r>
      <w:r w:rsidRPr="00DE1B8E">
        <w:rPr>
          <w:rFonts w:asciiTheme="minorHAnsi" w:hAnsiTheme="minorHAnsi" w:cstheme="minorHAnsi"/>
          <w:sz w:val="18"/>
          <w:szCs w:val="18"/>
        </w:rPr>
        <w:t>strong reduction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DE1B8E">
        <w:rPr>
          <w:rFonts w:asciiTheme="minorHAnsi" w:hAnsiTheme="minorHAnsi" w:cstheme="minorHAnsi"/>
          <w:sz w:val="18"/>
          <w:szCs w:val="18"/>
        </w:rPr>
        <w:t xml:space="preserve"> in </w:t>
      </w:r>
      <w:r w:rsidR="000508DC" w:rsidRPr="00DE1B8E">
        <w:rPr>
          <w:rFonts w:asciiTheme="minorHAnsi" w:hAnsiTheme="minorHAnsi" w:cstheme="minorHAnsi"/>
          <w:sz w:val="18"/>
          <w:szCs w:val="18"/>
        </w:rPr>
        <w:t xml:space="preserve">activity </w:t>
      </w:r>
      <w:r w:rsidR="000508DC">
        <w:rPr>
          <w:rFonts w:asciiTheme="minorHAnsi" w:hAnsiTheme="minorHAnsi" w:cstheme="minorHAnsi"/>
          <w:sz w:val="18"/>
          <w:szCs w:val="18"/>
        </w:rPr>
        <w:t xml:space="preserve">by </w:t>
      </w:r>
      <w:r w:rsidRPr="00DE1B8E">
        <w:rPr>
          <w:rFonts w:asciiTheme="minorHAnsi" w:hAnsiTheme="minorHAnsi" w:cstheme="minorHAnsi"/>
          <w:sz w:val="18"/>
          <w:szCs w:val="18"/>
        </w:rPr>
        <w:t>investor</w:t>
      </w:r>
      <w:r w:rsidR="000508DC">
        <w:rPr>
          <w:rFonts w:asciiTheme="minorHAnsi" w:hAnsiTheme="minorHAnsi" w:cstheme="minorHAnsi"/>
          <w:sz w:val="18"/>
          <w:szCs w:val="18"/>
        </w:rPr>
        <w:t>s</w:t>
      </w:r>
      <w:r w:rsidRPr="00DE1B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who realised they had to </w:t>
      </w:r>
      <w:r w:rsidRPr="00DE1B8E">
        <w:rPr>
          <w:rFonts w:asciiTheme="minorHAnsi" w:hAnsiTheme="minorHAnsi" w:cstheme="minorHAnsi"/>
          <w:sz w:val="18"/>
          <w:szCs w:val="18"/>
        </w:rPr>
        <w:t>wait for the election results, the implementation of the taxation policy, and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E1B8E">
        <w:rPr>
          <w:rFonts w:asciiTheme="minorHAnsi" w:hAnsiTheme="minorHAnsi" w:cstheme="minorHAnsi"/>
          <w:sz w:val="18"/>
          <w:szCs w:val="18"/>
        </w:rPr>
        <w:t xml:space="preserve">new low equilibrium point to be reached, before they </w:t>
      </w:r>
      <w:r>
        <w:rPr>
          <w:rFonts w:asciiTheme="minorHAnsi" w:hAnsiTheme="minorHAnsi" w:cstheme="minorHAnsi"/>
          <w:sz w:val="18"/>
          <w:szCs w:val="18"/>
        </w:rPr>
        <w:t xml:space="preserve">could </w:t>
      </w:r>
      <w:r w:rsidRPr="00DE1B8E">
        <w:rPr>
          <w:rFonts w:asciiTheme="minorHAnsi" w:hAnsiTheme="minorHAnsi" w:cstheme="minorHAnsi"/>
          <w:sz w:val="18"/>
          <w:szCs w:val="18"/>
        </w:rPr>
        <w:t xml:space="preserve">act. </w:t>
      </w:r>
    </w:p>
    <w:p w14:paraId="02507723" w14:textId="77777777" w:rsidR="00DE1B8E" w:rsidRDefault="00DE1B8E" w:rsidP="00DE1B8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1EED4C9" w14:textId="7C76A613" w:rsidR="00DE1B8E" w:rsidRPr="00DE1B8E" w:rsidRDefault="00DE1B8E" w:rsidP="00DE1B8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</w:t>
      </w:r>
      <w:r w:rsidRPr="00DE1B8E">
        <w:rPr>
          <w:rFonts w:asciiTheme="minorHAnsi" w:hAnsiTheme="minorHAnsi" w:cstheme="minorHAnsi"/>
          <w:sz w:val="18"/>
          <w:szCs w:val="18"/>
        </w:rPr>
        <w:t>Investors understand the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E1B8E">
        <w:rPr>
          <w:rFonts w:asciiTheme="minorHAnsi" w:hAnsiTheme="minorHAnsi" w:cstheme="minorHAnsi"/>
          <w:sz w:val="18"/>
          <w:szCs w:val="18"/>
        </w:rPr>
        <w:t>potential increases to out-of-pocket expenses due to the taxation changes, which are</w:t>
      </w:r>
    </w:p>
    <w:p w14:paraId="4F9CAC17" w14:textId="73A5BE9C" w:rsidR="002623C4" w:rsidRPr="00E22135" w:rsidRDefault="00DE1B8E" w:rsidP="00DE1B8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E1B8E">
        <w:rPr>
          <w:rFonts w:asciiTheme="minorHAnsi" w:hAnsiTheme="minorHAnsi" w:cstheme="minorHAnsi"/>
          <w:sz w:val="18"/>
          <w:szCs w:val="18"/>
        </w:rPr>
        <w:t>equivalent to a significant and sudden interest rate increase of 1.15 per cent in the Sydney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E1B8E">
        <w:rPr>
          <w:rFonts w:asciiTheme="minorHAnsi" w:hAnsiTheme="minorHAnsi" w:cstheme="minorHAnsi"/>
          <w:sz w:val="18"/>
          <w:szCs w:val="18"/>
        </w:rPr>
        <w:t>unit market</w:t>
      </w:r>
      <w:r>
        <w:rPr>
          <w:rFonts w:asciiTheme="minorHAnsi" w:hAnsiTheme="minorHAnsi" w:cstheme="minorHAnsi"/>
          <w:sz w:val="18"/>
          <w:szCs w:val="18"/>
        </w:rPr>
        <w:t>,” he said</w:t>
      </w:r>
      <w:r w:rsidRPr="00DE1B8E">
        <w:rPr>
          <w:rFonts w:asciiTheme="minorHAnsi" w:hAnsiTheme="minorHAnsi" w:cstheme="minorHAnsi"/>
          <w:sz w:val="18"/>
          <w:szCs w:val="18"/>
        </w:rPr>
        <w:t>.</w:t>
      </w:r>
    </w:p>
    <w:p w14:paraId="44BD278B" w14:textId="71550FBE" w:rsidR="00E22135" w:rsidRPr="005709DC" w:rsidRDefault="00E22135" w:rsidP="00E22135">
      <w:pP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</w:p>
    <w:p w14:paraId="39BD7920" w14:textId="10F76AF3" w:rsidR="002C6D9D" w:rsidRDefault="002C6D9D" w:rsidP="002C6D9D">
      <w:pP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RiskWise</w:t>
      </w:r>
      <w:proofErr w:type="spellEnd"/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analysis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shows there </w:t>
      </w:r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is an 80 per cent likelihood the RBA will cut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interest rates during the second half of 2019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with </w:t>
      </w:r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a further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cut 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before the end of the year </w:t>
      </w:r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or early 2020</w:t>
      </w:r>
      <w:r w:rsidR="00340768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, with the banks ‘</w:t>
      </w:r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highly likely to pass them </w:t>
      </w:r>
      <w:r w:rsidR="000508DC"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fully</w:t>
      </w:r>
      <w:r w:rsidR="000508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on to </w:t>
      </w:r>
      <w:proofErr w:type="gramStart"/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borrowers</w:t>
      </w:r>
      <w:r w:rsidR="00340768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’</w:t>
      </w:r>
      <w:proofErr w:type="gramEnd"/>
      <w:r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.</w:t>
      </w:r>
    </w:p>
    <w:p w14:paraId="74C6C371" w14:textId="77777777" w:rsidR="00340768" w:rsidRPr="002C6D9D" w:rsidRDefault="00340768" w:rsidP="002C6D9D">
      <w:pP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</w:p>
    <w:p w14:paraId="2ABD8441" w14:textId="5B28831E" w:rsidR="00E22135" w:rsidRPr="002C6D9D" w:rsidRDefault="00340768" w:rsidP="00340768">
      <w:pP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“</w:t>
      </w:r>
      <w:r w:rsidR="002C6D9D"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This will significantly reduce price reductions, particularly in the Sydney and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2C6D9D"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Melbourne markets, and increase demand in the markets that have shown resilience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2C6D9D"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and already enjoy good demand</w:t>
      </w:r>
      <w:r w:rsidR="00740389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. Interest rate cut</w:t>
      </w:r>
      <w:r w:rsidR="000508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s</w:t>
      </w:r>
      <w:r w:rsidR="00740389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ha</w:t>
      </w:r>
      <w:r w:rsidR="000508DC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ve</w:t>
      </w:r>
      <w:r w:rsidR="00740389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a direct impact on out-of-pocket expenses and also have an impact on buyer sentiment, particularly investors</w:t>
      </w:r>
      <w: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,” Mr Peleg said</w:t>
      </w:r>
      <w:r w:rsidR="002C6D9D" w:rsidRPr="002C6D9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. </w:t>
      </w:r>
    </w:p>
    <w:p w14:paraId="46D211E0" w14:textId="77777777" w:rsidR="00613F94" w:rsidRPr="00EB28AD" w:rsidRDefault="00613F94" w:rsidP="00EB28A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27D6A90B" w14:textId="77777777" w:rsidR="007C14DF" w:rsidRDefault="007C14DF" w:rsidP="00CD4DC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“</w:t>
      </w:r>
      <w:r w:rsidR="00CD4DC5" w:rsidRPr="00CD4DC5">
        <w:rPr>
          <w:rFonts w:asciiTheme="minorHAnsi" w:hAnsiTheme="minorHAnsi" w:cstheme="minorHAnsi"/>
          <w:sz w:val="18"/>
          <w:szCs w:val="18"/>
        </w:rPr>
        <w:t>GDP growth is also below target</w:t>
      </w:r>
      <w:r>
        <w:rPr>
          <w:rFonts w:asciiTheme="minorHAnsi" w:hAnsiTheme="minorHAnsi" w:cstheme="minorHAnsi"/>
          <w:sz w:val="18"/>
          <w:szCs w:val="18"/>
        </w:rPr>
        <w:t>, largely due to a</w:t>
      </w:r>
      <w:r w:rsidR="00CD4DC5" w:rsidRPr="00CD4DC5">
        <w:rPr>
          <w:rFonts w:asciiTheme="minorHAnsi" w:hAnsiTheme="minorHAnsi" w:cstheme="minorHAnsi"/>
          <w:sz w:val="18"/>
          <w:szCs w:val="18"/>
        </w:rPr>
        <w:t xml:space="preserve"> reduction in dwelling commencements</w:t>
      </w:r>
      <w:r>
        <w:rPr>
          <w:rFonts w:asciiTheme="minorHAnsi" w:hAnsiTheme="minorHAnsi" w:cstheme="minorHAnsi"/>
          <w:sz w:val="18"/>
          <w:szCs w:val="18"/>
        </w:rPr>
        <w:t>, and a drop in</w:t>
      </w:r>
      <w:r w:rsidR="00CD4DC5" w:rsidRPr="00CD4DC5">
        <w:rPr>
          <w:rFonts w:asciiTheme="minorHAnsi" w:hAnsiTheme="minorHAnsi" w:cstheme="minorHAnsi"/>
          <w:sz w:val="18"/>
          <w:szCs w:val="18"/>
        </w:rPr>
        <w:t xml:space="preserve"> consumer sentiment has an impact on household spending</w:t>
      </w:r>
    </w:p>
    <w:p w14:paraId="6EC600FB" w14:textId="77777777" w:rsidR="007C14DF" w:rsidRDefault="007C14DF" w:rsidP="00CD4DC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DD95586" w14:textId="48DCC952" w:rsidR="007C14DF" w:rsidRDefault="007C14DF" w:rsidP="00CD4DC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“In fact, a</w:t>
      </w:r>
      <w:r w:rsidR="00CD4DC5" w:rsidRPr="00CD4DC5">
        <w:rPr>
          <w:rFonts w:asciiTheme="minorHAnsi" w:hAnsiTheme="minorHAnsi" w:cstheme="minorHAnsi"/>
          <w:sz w:val="18"/>
          <w:szCs w:val="18"/>
        </w:rPr>
        <w:t>ccording to ABS data, there has been a major reduction in household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CD4DC5" w:rsidRPr="00CD4DC5">
        <w:rPr>
          <w:rFonts w:asciiTheme="minorHAnsi" w:hAnsiTheme="minorHAnsi" w:cstheme="minorHAnsi"/>
          <w:sz w:val="18"/>
          <w:szCs w:val="18"/>
        </w:rPr>
        <w:t>wealth, driven by a reduction of land and property values. While household wealth is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CD4DC5" w:rsidRPr="00CD4DC5">
        <w:rPr>
          <w:rFonts w:asciiTheme="minorHAnsi" w:hAnsiTheme="minorHAnsi" w:cstheme="minorHAnsi"/>
          <w:sz w:val="18"/>
          <w:szCs w:val="18"/>
        </w:rPr>
        <w:t>falling, the household-debt-to-income ratio hit a new record just shy of 200 per cent.</w:t>
      </w:r>
    </w:p>
    <w:p w14:paraId="4634E57B" w14:textId="77777777" w:rsidR="007C14DF" w:rsidRDefault="007C14DF" w:rsidP="00CD4DC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23C96434" w14:textId="3904CFBE" w:rsidR="007C14DF" w:rsidRDefault="009936BF" w:rsidP="0093353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</w:t>
      </w:r>
      <w:r w:rsidR="00933536" w:rsidRPr="00933536">
        <w:rPr>
          <w:rFonts w:asciiTheme="minorHAnsi" w:hAnsiTheme="minorHAnsi" w:cstheme="minorHAnsi"/>
          <w:sz w:val="18"/>
          <w:szCs w:val="18"/>
        </w:rPr>
        <w:t>While APRA has removed the 30 per cent interest-only lending cap, this is unlikely to have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33536" w:rsidRPr="00933536">
        <w:rPr>
          <w:rFonts w:asciiTheme="minorHAnsi" w:hAnsiTheme="minorHAnsi" w:cstheme="minorHAnsi"/>
          <w:sz w:val="18"/>
          <w:szCs w:val="18"/>
        </w:rPr>
        <w:t>material impact on the housing market. Banks will continue to mitigate the risks associated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33536" w:rsidRPr="00933536">
        <w:rPr>
          <w:rFonts w:asciiTheme="minorHAnsi" w:hAnsiTheme="minorHAnsi" w:cstheme="minorHAnsi"/>
          <w:sz w:val="18"/>
          <w:szCs w:val="18"/>
        </w:rPr>
        <w:t>with interest-only loans in a market where the majority of the properties that are purchased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33536" w:rsidRPr="00933536">
        <w:rPr>
          <w:rFonts w:asciiTheme="minorHAnsi" w:hAnsiTheme="minorHAnsi" w:cstheme="minorHAnsi"/>
          <w:sz w:val="18"/>
          <w:szCs w:val="18"/>
        </w:rPr>
        <w:t>or re-financed are depreciating assets.</w:t>
      </w:r>
      <w:r>
        <w:rPr>
          <w:rFonts w:asciiTheme="minorHAnsi" w:hAnsiTheme="minorHAnsi" w:cstheme="minorHAnsi"/>
          <w:sz w:val="18"/>
          <w:szCs w:val="18"/>
        </w:rPr>
        <w:t xml:space="preserve"> In addition, there is a 7 per cent stress test </w:t>
      </w:r>
      <w:r w:rsidR="00740389">
        <w:rPr>
          <w:rFonts w:asciiTheme="minorHAnsi" w:hAnsiTheme="minorHAnsi" w:cstheme="minorHAnsi"/>
          <w:sz w:val="18"/>
          <w:szCs w:val="18"/>
        </w:rPr>
        <w:t xml:space="preserve">(where many lenders </w:t>
      </w:r>
      <w:r w:rsidR="00AF60E8">
        <w:rPr>
          <w:rFonts w:asciiTheme="minorHAnsi" w:hAnsiTheme="minorHAnsi" w:cstheme="minorHAnsi"/>
          <w:sz w:val="18"/>
          <w:szCs w:val="18"/>
        </w:rPr>
        <w:t xml:space="preserve">set the stress test at 7.25 per cent) </w:t>
      </w:r>
      <w:r>
        <w:rPr>
          <w:rFonts w:asciiTheme="minorHAnsi" w:hAnsiTheme="minorHAnsi" w:cstheme="minorHAnsi"/>
          <w:sz w:val="18"/>
          <w:szCs w:val="18"/>
        </w:rPr>
        <w:t xml:space="preserve">when it comes to the ability to service a </w:t>
      </w:r>
      <w:r w:rsidRPr="009936BF">
        <w:rPr>
          <w:rFonts w:asciiTheme="minorHAnsi" w:hAnsiTheme="minorHAnsi" w:cstheme="minorHAnsi"/>
          <w:sz w:val="18"/>
          <w:szCs w:val="18"/>
        </w:rPr>
        <w:t xml:space="preserve">loan </w:t>
      </w:r>
      <w:r>
        <w:rPr>
          <w:rFonts w:asciiTheme="minorHAnsi" w:hAnsiTheme="minorHAnsi" w:cstheme="minorHAnsi"/>
          <w:sz w:val="18"/>
          <w:szCs w:val="18"/>
        </w:rPr>
        <w:t>making it extremely difficult to get approval from lenders.</w:t>
      </w:r>
    </w:p>
    <w:p w14:paraId="7C40397A" w14:textId="77777777" w:rsidR="00793277" w:rsidRDefault="00793277" w:rsidP="0079327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E7FCA09" w14:textId="48572D6C" w:rsidR="00793277" w:rsidRDefault="00793277" w:rsidP="0079327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</w:t>
      </w:r>
      <w:r w:rsidRPr="00793277">
        <w:rPr>
          <w:rFonts w:asciiTheme="minorHAnsi" w:hAnsiTheme="minorHAnsi" w:cstheme="minorHAnsi"/>
          <w:sz w:val="18"/>
          <w:szCs w:val="18"/>
        </w:rPr>
        <w:t xml:space="preserve">Negative equity has </w:t>
      </w:r>
      <w:r>
        <w:rPr>
          <w:rFonts w:asciiTheme="minorHAnsi" w:hAnsiTheme="minorHAnsi" w:cstheme="minorHAnsi"/>
          <w:sz w:val="18"/>
          <w:szCs w:val="18"/>
        </w:rPr>
        <w:t xml:space="preserve">also </w:t>
      </w:r>
      <w:r w:rsidRPr="00793277">
        <w:rPr>
          <w:rFonts w:asciiTheme="minorHAnsi" w:hAnsiTheme="minorHAnsi" w:cstheme="minorHAnsi"/>
          <w:sz w:val="18"/>
          <w:szCs w:val="18"/>
        </w:rPr>
        <w:t>become a major risk, particularly for lenders who have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93277">
        <w:rPr>
          <w:rFonts w:asciiTheme="minorHAnsi" w:hAnsiTheme="minorHAnsi" w:cstheme="minorHAnsi"/>
          <w:sz w:val="18"/>
          <w:szCs w:val="18"/>
        </w:rPr>
        <w:t>concentration of loans in weak markets within W</w:t>
      </w:r>
      <w:r>
        <w:rPr>
          <w:rFonts w:asciiTheme="minorHAnsi" w:hAnsiTheme="minorHAnsi" w:cstheme="minorHAnsi"/>
          <w:sz w:val="18"/>
          <w:szCs w:val="18"/>
        </w:rPr>
        <w:t>estern Australia, Queensland and the Northern Territory</w:t>
      </w:r>
      <w:r w:rsidRPr="00793277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Also</w:t>
      </w:r>
      <w:r w:rsidR="002E132D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93277">
        <w:rPr>
          <w:rFonts w:asciiTheme="minorHAnsi" w:hAnsiTheme="minorHAnsi" w:cstheme="minorHAnsi"/>
          <w:sz w:val="18"/>
          <w:szCs w:val="18"/>
        </w:rPr>
        <w:t>the majority of the properties that have been purchased in Sydney and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93277">
        <w:rPr>
          <w:rFonts w:asciiTheme="minorHAnsi" w:hAnsiTheme="minorHAnsi" w:cstheme="minorHAnsi"/>
          <w:sz w:val="18"/>
          <w:szCs w:val="18"/>
        </w:rPr>
        <w:t>Melbourne in the past couple of years have depreciated in value and properties that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93277">
        <w:rPr>
          <w:rFonts w:asciiTheme="minorHAnsi" w:hAnsiTheme="minorHAnsi" w:cstheme="minorHAnsi"/>
          <w:sz w:val="18"/>
          <w:szCs w:val="18"/>
        </w:rPr>
        <w:t xml:space="preserve">have </w:t>
      </w:r>
      <w:r>
        <w:rPr>
          <w:rFonts w:asciiTheme="minorHAnsi" w:hAnsiTheme="minorHAnsi" w:cstheme="minorHAnsi"/>
          <w:sz w:val="18"/>
          <w:szCs w:val="18"/>
        </w:rPr>
        <w:t>loan-to-value ratio (</w:t>
      </w:r>
      <w:r w:rsidRPr="00793277">
        <w:rPr>
          <w:rFonts w:asciiTheme="minorHAnsi" w:hAnsiTheme="minorHAnsi" w:cstheme="minorHAnsi"/>
          <w:sz w:val="18"/>
          <w:szCs w:val="18"/>
        </w:rPr>
        <w:t>LVR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93277">
        <w:rPr>
          <w:rFonts w:asciiTheme="minorHAnsi" w:hAnsiTheme="minorHAnsi" w:cstheme="minorHAnsi"/>
          <w:sz w:val="18"/>
          <w:szCs w:val="18"/>
        </w:rPr>
        <w:t xml:space="preserve"> of 90</w:t>
      </w:r>
      <w:r>
        <w:rPr>
          <w:rFonts w:asciiTheme="minorHAnsi" w:hAnsiTheme="minorHAnsi" w:cstheme="minorHAnsi"/>
          <w:sz w:val="18"/>
          <w:szCs w:val="18"/>
        </w:rPr>
        <w:t xml:space="preserve"> per cent </w:t>
      </w:r>
      <w:r w:rsidRPr="00793277">
        <w:rPr>
          <w:rFonts w:asciiTheme="minorHAnsi" w:hAnsiTheme="minorHAnsi" w:cstheme="minorHAnsi"/>
          <w:sz w:val="18"/>
          <w:szCs w:val="18"/>
        </w:rPr>
        <w:t>or more carry a high level of risk of negative equity.</w:t>
      </w:r>
      <w:r>
        <w:rPr>
          <w:rFonts w:asciiTheme="minorHAnsi" w:hAnsiTheme="minorHAnsi" w:cstheme="minorHAnsi"/>
          <w:sz w:val="18"/>
          <w:szCs w:val="18"/>
        </w:rPr>
        <w:t>”</w:t>
      </w:r>
    </w:p>
    <w:p w14:paraId="070A5579" w14:textId="77777777" w:rsidR="00793277" w:rsidRDefault="00793277" w:rsidP="0093353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3BC3709" w14:textId="36D176A4" w:rsidR="009936BF" w:rsidRDefault="00793277" w:rsidP="0093353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Mr Peleg said the </w:t>
      </w:r>
      <w:r w:rsidRPr="00793277">
        <w:rPr>
          <w:rFonts w:asciiTheme="minorHAnsi" w:hAnsiTheme="minorHAnsi" w:cstheme="minorHAnsi"/>
          <w:sz w:val="18"/>
          <w:szCs w:val="18"/>
        </w:rPr>
        <w:t>next quarter w</w:t>
      </w:r>
      <w:r>
        <w:rPr>
          <w:rFonts w:asciiTheme="minorHAnsi" w:hAnsiTheme="minorHAnsi" w:cstheme="minorHAnsi"/>
          <w:sz w:val="18"/>
          <w:szCs w:val="18"/>
        </w:rPr>
        <w:t xml:space="preserve">ould </w:t>
      </w:r>
      <w:r w:rsidRPr="00793277">
        <w:rPr>
          <w:rFonts w:asciiTheme="minorHAnsi" w:hAnsiTheme="minorHAnsi" w:cstheme="minorHAnsi"/>
          <w:sz w:val="18"/>
          <w:szCs w:val="18"/>
        </w:rPr>
        <w:t xml:space="preserve">be crucial </w:t>
      </w:r>
      <w:r>
        <w:rPr>
          <w:rFonts w:asciiTheme="minorHAnsi" w:hAnsiTheme="minorHAnsi" w:cstheme="minorHAnsi"/>
          <w:sz w:val="18"/>
          <w:szCs w:val="18"/>
        </w:rPr>
        <w:t>for</w:t>
      </w:r>
      <w:r w:rsidRPr="00793277">
        <w:rPr>
          <w:rFonts w:asciiTheme="minorHAnsi" w:hAnsiTheme="minorHAnsi" w:cstheme="minorHAnsi"/>
          <w:sz w:val="18"/>
          <w:szCs w:val="18"/>
        </w:rPr>
        <w:t xml:space="preserve"> the housing market </w:t>
      </w:r>
      <w:r w:rsidR="00AF60E8">
        <w:rPr>
          <w:rFonts w:asciiTheme="minorHAnsi" w:hAnsiTheme="minorHAnsi" w:cstheme="minorHAnsi"/>
          <w:sz w:val="18"/>
          <w:szCs w:val="18"/>
        </w:rPr>
        <w:t xml:space="preserve">due to the election results and expected high level of certainty regarding RBA’s interest rate </w:t>
      </w:r>
      <w:proofErr w:type="gramStart"/>
      <w:r w:rsidR="00AF60E8">
        <w:rPr>
          <w:rFonts w:asciiTheme="minorHAnsi" w:hAnsiTheme="minorHAnsi" w:cstheme="minorHAnsi"/>
          <w:sz w:val="18"/>
          <w:szCs w:val="18"/>
        </w:rPr>
        <w:t xml:space="preserve">cuts, </w:t>
      </w:r>
      <w:r>
        <w:rPr>
          <w:rFonts w:asciiTheme="minorHAnsi" w:hAnsiTheme="minorHAnsi" w:cstheme="minorHAnsi"/>
          <w:sz w:val="18"/>
          <w:szCs w:val="18"/>
        </w:rPr>
        <w:t>but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expected the weak outlook to continue.</w:t>
      </w:r>
    </w:p>
    <w:p w14:paraId="570B3B65" w14:textId="64F2762B" w:rsidR="009936BF" w:rsidRDefault="009936BF" w:rsidP="00933536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9225110" w14:textId="2A5DF960" w:rsidR="00793277" w:rsidRDefault="00793277" w:rsidP="00E2213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He said m</w:t>
      </w:r>
      <w:r w:rsidR="00E22135" w:rsidRPr="00E22135">
        <w:rPr>
          <w:rFonts w:asciiTheme="minorHAnsi" w:hAnsiTheme="minorHAnsi" w:cstheme="minorHAnsi"/>
          <w:sz w:val="18"/>
          <w:szCs w:val="18"/>
        </w:rPr>
        <w:t>acro-economic measures, particularly in relation to Consumer Price Index (CPI),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22135" w:rsidRPr="00E22135">
        <w:rPr>
          <w:rFonts w:asciiTheme="minorHAnsi" w:hAnsiTheme="minorHAnsi" w:cstheme="minorHAnsi"/>
          <w:sz w:val="18"/>
          <w:szCs w:val="18"/>
        </w:rPr>
        <w:t>employment and GDP growth</w:t>
      </w:r>
      <w:r>
        <w:rPr>
          <w:rFonts w:asciiTheme="minorHAnsi" w:hAnsiTheme="minorHAnsi" w:cstheme="minorHAnsi"/>
          <w:sz w:val="18"/>
          <w:szCs w:val="18"/>
        </w:rPr>
        <w:t xml:space="preserve"> would play central roles in whether there w</w:t>
      </w:r>
      <w:r w:rsidR="000508DC">
        <w:rPr>
          <w:rFonts w:asciiTheme="minorHAnsi" w:hAnsiTheme="minorHAnsi" w:cstheme="minorHAnsi"/>
          <w:sz w:val="18"/>
          <w:szCs w:val="18"/>
        </w:rPr>
        <w:t>ould</w:t>
      </w:r>
      <w:r>
        <w:rPr>
          <w:rFonts w:asciiTheme="minorHAnsi" w:hAnsiTheme="minorHAnsi" w:cstheme="minorHAnsi"/>
          <w:sz w:val="18"/>
          <w:szCs w:val="18"/>
        </w:rPr>
        <w:t xml:space="preserve"> be an interest rate reduction sooner rather than later</w:t>
      </w:r>
      <w:r w:rsidR="00E22135" w:rsidRPr="00E22135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76B0D2D7" w14:textId="77777777" w:rsidR="00793277" w:rsidRDefault="00793277" w:rsidP="00E2213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AB91D7D" w14:textId="5E18B892" w:rsidR="00E22135" w:rsidRPr="009A777E" w:rsidRDefault="00793277" w:rsidP="00E2213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“Our analysis shows us however, that at least for the foreseeable future, and especially with the likely introduction of the taxation changes, that the w</w:t>
      </w:r>
      <w:r w:rsidR="00E22135" w:rsidRPr="00E22135">
        <w:rPr>
          <w:rFonts w:asciiTheme="minorHAnsi" w:hAnsiTheme="minorHAnsi" w:cstheme="minorHAnsi"/>
          <w:sz w:val="18"/>
          <w:szCs w:val="18"/>
        </w:rPr>
        <w:t xml:space="preserve">eak housing market </w:t>
      </w:r>
      <w:r>
        <w:rPr>
          <w:rFonts w:asciiTheme="minorHAnsi" w:hAnsiTheme="minorHAnsi" w:cstheme="minorHAnsi"/>
          <w:sz w:val="18"/>
          <w:szCs w:val="18"/>
        </w:rPr>
        <w:t>will</w:t>
      </w:r>
      <w:r w:rsidR="00E22135" w:rsidRPr="00E22135">
        <w:rPr>
          <w:rFonts w:asciiTheme="minorHAnsi" w:hAnsiTheme="minorHAnsi" w:cstheme="minorHAnsi"/>
          <w:sz w:val="18"/>
          <w:szCs w:val="18"/>
        </w:rPr>
        <w:t xml:space="preserve"> continue </w:t>
      </w:r>
      <w:r>
        <w:rPr>
          <w:rFonts w:asciiTheme="minorHAnsi" w:hAnsiTheme="minorHAnsi" w:cstheme="minorHAnsi"/>
          <w:sz w:val="18"/>
          <w:szCs w:val="18"/>
        </w:rPr>
        <w:t xml:space="preserve">with </w:t>
      </w:r>
      <w:r w:rsidR="00E22135" w:rsidRPr="00E22135">
        <w:rPr>
          <w:rFonts w:asciiTheme="minorHAnsi" w:hAnsiTheme="minorHAnsi" w:cstheme="minorHAnsi"/>
          <w:sz w:val="18"/>
          <w:szCs w:val="18"/>
        </w:rPr>
        <w:t xml:space="preserve">high levels of apartment supply, combined with low sales volumes, </w:t>
      </w:r>
      <w:r>
        <w:rPr>
          <w:rFonts w:asciiTheme="minorHAnsi" w:hAnsiTheme="minorHAnsi" w:cstheme="minorHAnsi"/>
          <w:sz w:val="18"/>
          <w:szCs w:val="18"/>
        </w:rPr>
        <w:t xml:space="preserve">and a </w:t>
      </w:r>
      <w:r w:rsidR="00E22135" w:rsidRPr="00E22135">
        <w:rPr>
          <w:rFonts w:asciiTheme="minorHAnsi" w:hAnsiTheme="minorHAnsi" w:cstheme="minorHAnsi"/>
          <w:sz w:val="18"/>
          <w:szCs w:val="18"/>
        </w:rPr>
        <w:t>continuous reduction in dwelling commencements</w:t>
      </w:r>
      <w:r>
        <w:rPr>
          <w:rFonts w:asciiTheme="minorHAnsi" w:hAnsiTheme="minorHAnsi" w:cstheme="minorHAnsi"/>
          <w:sz w:val="18"/>
          <w:szCs w:val="18"/>
        </w:rPr>
        <w:t>,</w:t>
      </w:r>
      <w:r w:rsidR="00AF60E8">
        <w:rPr>
          <w:rFonts w:asciiTheme="minorHAnsi" w:hAnsiTheme="minorHAnsi" w:cstheme="minorHAnsi"/>
          <w:sz w:val="18"/>
          <w:szCs w:val="18"/>
        </w:rPr>
        <w:t xml:space="preserve"> that will help to absorb the high level of supply gradually over time</w:t>
      </w:r>
      <w:r>
        <w:rPr>
          <w:rFonts w:asciiTheme="minorHAnsi" w:hAnsiTheme="minorHAnsi" w:cstheme="minorHAnsi"/>
          <w:sz w:val="18"/>
          <w:szCs w:val="18"/>
        </w:rPr>
        <w:t>” he said</w:t>
      </w:r>
      <w:r w:rsidR="00E22135" w:rsidRPr="00E22135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C6CC606" w14:textId="77777777" w:rsidR="00C06A3C" w:rsidRPr="009A777E" w:rsidRDefault="00C06A3C" w:rsidP="00C06A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74BE625A" w14:textId="3365D96C" w:rsidR="00E22135" w:rsidRPr="00E22135" w:rsidRDefault="00E22135" w:rsidP="00E22135">
      <w:pPr>
        <w:spacing w:after="24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22135">
        <w:rPr>
          <w:rFonts w:asciiTheme="minorHAnsi" w:hAnsiTheme="minorHAnsi" w:cstheme="minorHAnsi"/>
          <w:b/>
          <w:sz w:val="18"/>
          <w:szCs w:val="18"/>
          <w:u w:val="single"/>
        </w:rPr>
        <w:t>State-by-State Overview:</w:t>
      </w:r>
    </w:p>
    <w:p w14:paraId="468898D3" w14:textId="01B40EF4" w:rsidR="00E22135" w:rsidRPr="00E22135" w:rsidRDefault="00E22135" w:rsidP="00E22135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E22135">
        <w:rPr>
          <w:rFonts w:asciiTheme="minorHAnsi" w:hAnsiTheme="minorHAnsi" w:cstheme="minorHAnsi"/>
          <w:sz w:val="18"/>
          <w:szCs w:val="18"/>
        </w:rPr>
        <w:t xml:space="preserve">In </w:t>
      </w:r>
      <w:r w:rsidRPr="00E22135">
        <w:rPr>
          <w:rFonts w:asciiTheme="minorHAnsi" w:hAnsiTheme="minorHAnsi" w:cstheme="minorHAnsi"/>
          <w:b/>
          <w:sz w:val="18"/>
          <w:szCs w:val="18"/>
        </w:rPr>
        <w:t>New South Wales</w:t>
      </w:r>
      <w:r w:rsidRPr="00E22135">
        <w:rPr>
          <w:rFonts w:asciiTheme="minorHAnsi" w:hAnsiTheme="minorHAnsi" w:cstheme="minorHAnsi"/>
          <w:sz w:val="18"/>
          <w:szCs w:val="18"/>
        </w:rPr>
        <w:t>, the combined effects of unaffordable housing, poor investment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serviceability ratio and lending restrictions have led to a quick reduction in house and unit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prices. In addition, there has been a significant reduction in investor activity.</w:t>
      </w:r>
      <w:r w:rsidR="002E132D">
        <w:rPr>
          <w:rFonts w:asciiTheme="minorHAnsi" w:hAnsiTheme="minorHAnsi" w:cstheme="minorHAnsi"/>
          <w:sz w:val="18"/>
          <w:szCs w:val="18"/>
        </w:rPr>
        <w:t xml:space="preserve"> W</w:t>
      </w:r>
      <w:r w:rsidRPr="00E22135">
        <w:rPr>
          <w:rFonts w:asciiTheme="minorHAnsi" w:hAnsiTheme="minorHAnsi" w:cstheme="minorHAnsi"/>
          <w:sz w:val="18"/>
          <w:szCs w:val="18"/>
        </w:rPr>
        <w:t xml:space="preserve">ithout RBA interest rate cuts and / or a </w:t>
      </w:r>
      <w:proofErr w:type="spellStart"/>
      <w:r w:rsidRPr="00E22135">
        <w:rPr>
          <w:rFonts w:asciiTheme="minorHAnsi" w:hAnsiTheme="minorHAnsi" w:cstheme="minorHAnsi"/>
          <w:sz w:val="18"/>
          <w:szCs w:val="18"/>
        </w:rPr>
        <w:t>Labor</w:t>
      </w:r>
      <w:proofErr w:type="spellEnd"/>
      <w:r w:rsidRPr="00E22135">
        <w:rPr>
          <w:rFonts w:asciiTheme="minorHAnsi" w:hAnsiTheme="minorHAnsi" w:cstheme="minorHAnsi"/>
          <w:sz w:val="18"/>
          <w:szCs w:val="18"/>
        </w:rPr>
        <w:t xml:space="preserve"> loss in the federal election, Sydney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is likely to experience continuous price reductions over the next couple of years, with an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estimated annual reduction of 4-6 per cent for both this year and 2020. Some regional areas,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however, are likely to hold well.</w:t>
      </w:r>
      <w:r w:rsidR="000508DC">
        <w:rPr>
          <w:rFonts w:asciiTheme="minorHAnsi" w:hAnsiTheme="minorHAnsi" w:cstheme="minorHAnsi"/>
          <w:sz w:val="18"/>
          <w:szCs w:val="18"/>
        </w:rPr>
        <w:t xml:space="preserve"> An</w:t>
      </w:r>
      <w:r w:rsidR="00AF60E8">
        <w:rPr>
          <w:rFonts w:asciiTheme="minorHAnsi" w:hAnsiTheme="minorHAnsi" w:cstheme="minorHAnsi"/>
          <w:sz w:val="18"/>
          <w:szCs w:val="18"/>
        </w:rPr>
        <w:t xml:space="preserve"> RBA interest rate cuts is likely to mitigate price reductions.</w:t>
      </w:r>
    </w:p>
    <w:p w14:paraId="40778A01" w14:textId="50A4F974" w:rsidR="00E22135" w:rsidRPr="00E22135" w:rsidRDefault="00E22135" w:rsidP="00E22135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E22135">
        <w:rPr>
          <w:rFonts w:asciiTheme="minorHAnsi" w:hAnsiTheme="minorHAnsi" w:cstheme="minorHAnsi"/>
          <w:b/>
          <w:sz w:val="18"/>
          <w:szCs w:val="18"/>
        </w:rPr>
        <w:t xml:space="preserve">Victoria </w:t>
      </w:r>
      <w:r w:rsidR="002E132D">
        <w:rPr>
          <w:rFonts w:asciiTheme="minorHAnsi" w:hAnsiTheme="minorHAnsi" w:cstheme="minorHAnsi"/>
          <w:sz w:val="18"/>
          <w:szCs w:val="18"/>
        </w:rPr>
        <w:t>ha</w:t>
      </w:r>
      <w:r w:rsidRPr="00E22135">
        <w:rPr>
          <w:rFonts w:asciiTheme="minorHAnsi" w:hAnsiTheme="minorHAnsi" w:cstheme="minorHAnsi"/>
          <w:sz w:val="18"/>
          <w:szCs w:val="18"/>
        </w:rPr>
        <w:t xml:space="preserve">s the highest population growth </w:t>
      </w:r>
      <w:r w:rsidR="002E132D">
        <w:rPr>
          <w:rFonts w:asciiTheme="minorHAnsi" w:hAnsiTheme="minorHAnsi" w:cstheme="minorHAnsi"/>
          <w:sz w:val="18"/>
          <w:szCs w:val="18"/>
        </w:rPr>
        <w:t>in the country,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 xml:space="preserve">enjoys a solid economy and a healthy job market. However, like NSW, dwelling prices have fallen, although to a lesser extent, as have auction clearance rates. Again, this fall can be attributed to the same factors as that of NSW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E22135">
        <w:rPr>
          <w:rFonts w:asciiTheme="minorHAnsi" w:hAnsiTheme="minorHAnsi" w:cstheme="minorHAnsi"/>
          <w:sz w:val="18"/>
          <w:szCs w:val="18"/>
        </w:rPr>
        <w:t xml:space="preserve"> lending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restrictions, significantly lower investor activity, fear of changes to the current taxation regime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 xml:space="preserve">and expectations of price reductions. Therefore, without RBA interest rate cuts </w:t>
      </w:r>
      <w:r w:rsidR="00AF60E8">
        <w:rPr>
          <w:rFonts w:asciiTheme="minorHAnsi" w:hAnsiTheme="minorHAnsi" w:cstheme="minorHAnsi"/>
          <w:sz w:val="18"/>
          <w:szCs w:val="18"/>
        </w:rPr>
        <w:t xml:space="preserve">that are much needed to support this market </w:t>
      </w:r>
      <w:r w:rsidRPr="00E22135">
        <w:rPr>
          <w:rFonts w:asciiTheme="minorHAnsi" w:hAnsiTheme="minorHAnsi" w:cstheme="minorHAnsi"/>
          <w:sz w:val="18"/>
          <w:szCs w:val="18"/>
        </w:rPr>
        <w:t xml:space="preserve">and / or a </w:t>
      </w:r>
      <w:proofErr w:type="spellStart"/>
      <w:r w:rsidRPr="00E22135">
        <w:rPr>
          <w:rFonts w:asciiTheme="minorHAnsi" w:hAnsiTheme="minorHAnsi" w:cstheme="minorHAnsi"/>
          <w:sz w:val="18"/>
          <w:szCs w:val="18"/>
        </w:rPr>
        <w:t>Labor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loss in the federal election, over the next couple of years, the prospect for the Melbourne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housing market is negative with annual price reduction</w:t>
      </w:r>
      <w:r w:rsidR="002E132D">
        <w:rPr>
          <w:rFonts w:asciiTheme="minorHAnsi" w:hAnsiTheme="minorHAnsi" w:cstheme="minorHAnsi"/>
          <w:sz w:val="18"/>
          <w:szCs w:val="18"/>
        </w:rPr>
        <w:t>s</w:t>
      </w:r>
      <w:r w:rsidRPr="00E22135">
        <w:rPr>
          <w:rFonts w:asciiTheme="minorHAnsi" w:hAnsiTheme="minorHAnsi" w:cstheme="minorHAnsi"/>
          <w:sz w:val="18"/>
          <w:szCs w:val="18"/>
        </w:rPr>
        <w:t xml:space="preserve"> in the order of 4-7 per cent for both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this year and 2020. However, a number of regional areas, in particular Geelong and Ballarat,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508DC">
        <w:rPr>
          <w:rFonts w:asciiTheme="minorHAnsi" w:hAnsiTheme="minorHAnsi" w:cstheme="minorHAnsi"/>
          <w:sz w:val="18"/>
          <w:szCs w:val="18"/>
        </w:rPr>
        <w:t xml:space="preserve">which </w:t>
      </w:r>
      <w:r w:rsidR="00AF60E8">
        <w:rPr>
          <w:rFonts w:asciiTheme="minorHAnsi" w:hAnsiTheme="minorHAnsi" w:cstheme="minorHAnsi"/>
          <w:sz w:val="18"/>
          <w:szCs w:val="18"/>
        </w:rPr>
        <w:t xml:space="preserve">deliver solid capital growth, </w:t>
      </w:r>
      <w:r w:rsidRPr="00E22135">
        <w:rPr>
          <w:rFonts w:asciiTheme="minorHAnsi" w:hAnsiTheme="minorHAnsi" w:cstheme="minorHAnsi"/>
          <w:sz w:val="18"/>
          <w:szCs w:val="18"/>
        </w:rPr>
        <w:t xml:space="preserve">present only a low level of risk and are projected to </w:t>
      </w:r>
      <w:r w:rsidR="00AF60E8">
        <w:rPr>
          <w:rFonts w:asciiTheme="minorHAnsi" w:hAnsiTheme="minorHAnsi" w:cstheme="minorHAnsi"/>
          <w:sz w:val="18"/>
          <w:szCs w:val="18"/>
        </w:rPr>
        <w:t xml:space="preserve">continue </w:t>
      </w:r>
      <w:r w:rsidRPr="00E22135">
        <w:rPr>
          <w:rFonts w:asciiTheme="minorHAnsi" w:hAnsiTheme="minorHAnsi" w:cstheme="minorHAnsi"/>
          <w:sz w:val="18"/>
          <w:szCs w:val="18"/>
        </w:rPr>
        <w:t>deliver</w:t>
      </w:r>
      <w:r w:rsidR="00AF60E8">
        <w:rPr>
          <w:rFonts w:asciiTheme="minorHAnsi" w:hAnsiTheme="minorHAnsi" w:cstheme="minorHAnsi"/>
          <w:sz w:val="18"/>
          <w:szCs w:val="18"/>
        </w:rPr>
        <w:t>ing</w:t>
      </w:r>
      <w:r w:rsidRPr="00E22135">
        <w:rPr>
          <w:rFonts w:asciiTheme="minorHAnsi" w:hAnsiTheme="minorHAnsi" w:cstheme="minorHAnsi"/>
          <w:sz w:val="18"/>
          <w:szCs w:val="18"/>
        </w:rPr>
        <w:t xml:space="preserve"> solid capital growth both in the short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and long term.</w:t>
      </w:r>
    </w:p>
    <w:p w14:paraId="6658FD2B" w14:textId="6402BE64" w:rsidR="00E22135" w:rsidRPr="00E22135" w:rsidRDefault="00E22135" w:rsidP="00E22135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E22135">
        <w:rPr>
          <w:rFonts w:asciiTheme="minorHAnsi" w:hAnsiTheme="minorHAnsi" w:cstheme="minorHAnsi"/>
          <w:sz w:val="18"/>
          <w:szCs w:val="18"/>
        </w:rPr>
        <w:lastRenderedPageBreak/>
        <w:t xml:space="preserve">The </w:t>
      </w:r>
      <w:r w:rsidRPr="00E22135">
        <w:rPr>
          <w:rFonts w:asciiTheme="minorHAnsi" w:hAnsiTheme="minorHAnsi" w:cstheme="minorHAnsi"/>
          <w:b/>
          <w:sz w:val="18"/>
          <w:szCs w:val="18"/>
        </w:rPr>
        <w:t>Australian Capital Territory</w:t>
      </w:r>
      <w:r w:rsidRPr="00E22135">
        <w:rPr>
          <w:rFonts w:asciiTheme="minorHAnsi" w:hAnsiTheme="minorHAnsi" w:cstheme="minorHAnsi"/>
          <w:sz w:val="18"/>
          <w:szCs w:val="18"/>
        </w:rPr>
        <w:t xml:space="preserve"> delivered good economic growth and experienced the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second largest population growth rate in the country, delivering capital growth and a relatively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AF60E8">
        <w:rPr>
          <w:rFonts w:asciiTheme="minorHAnsi" w:hAnsiTheme="minorHAnsi" w:cstheme="minorHAnsi"/>
          <w:sz w:val="18"/>
          <w:szCs w:val="18"/>
        </w:rPr>
        <w:t xml:space="preserve">resilient </w:t>
      </w:r>
      <w:r w:rsidRPr="00E22135">
        <w:rPr>
          <w:rFonts w:asciiTheme="minorHAnsi" w:hAnsiTheme="minorHAnsi" w:cstheme="minorHAnsi"/>
          <w:sz w:val="18"/>
          <w:szCs w:val="18"/>
        </w:rPr>
        <w:t>property market. While growth rates have decelerated in recent months, dwellings in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the ACT present a relatively low level of risk for major price reductions and are projected to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deliver modest capital growth in the next couple of years. Houses are still enjoying, and likely to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 xml:space="preserve">continue to do so, </w:t>
      </w:r>
      <w:r w:rsidR="00CB093D">
        <w:rPr>
          <w:rFonts w:asciiTheme="minorHAnsi" w:hAnsiTheme="minorHAnsi" w:cstheme="minorHAnsi"/>
          <w:sz w:val="18"/>
          <w:szCs w:val="18"/>
        </w:rPr>
        <w:t xml:space="preserve">some </w:t>
      </w:r>
      <w:r w:rsidRPr="00E22135">
        <w:rPr>
          <w:rFonts w:asciiTheme="minorHAnsi" w:hAnsiTheme="minorHAnsi" w:cstheme="minorHAnsi"/>
          <w:sz w:val="18"/>
          <w:szCs w:val="18"/>
        </w:rPr>
        <w:t>capital growth while the unit market remains reasonable, although it does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carry a higher degree of risk to deliver negative growth in the short term, particularly due to its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reliance on investor activity.</w:t>
      </w:r>
    </w:p>
    <w:p w14:paraId="2362AC78" w14:textId="296CF530" w:rsidR="00E22135" w:rsidRPr="00E22135" w:rsidRDefault="000C3B1B" w:rsidP="00E22135">
      <w:pPr>
        <w:spacing w:after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</w:t>
      </w:r>
      <w:r w:rsidR="00E22135" w:rsidRPr="00E22135">
        <w:rPr>
          <w:rFonts w:asciiTheme="minorHAnsi" w:hAnsiTheme="minorHAnsi" w:cstheme="minorHAnsi"/>
          <w:sz w:val="18"/>
          <w:szCs w:val="18"/>
        </w:rPr>
        <w:t xml:space="preserve">he modest growth pace in the </w:t>
      </w:r>
      <w:r w:rsidR="00E22135" w:rsidRPr="00E22135">
        <w:rPr>
          <w:rFonts w:asciiTheme="minorHAnsi" w:hAnsiTheme="minorHAnsi" w:cstheme="minorHAnsi"/>
          <w:b/>
          <w:sz w:val="18"/>
          <w:szCs w:val="18"/>
        </w:rPr>
        <w:t xml:space="preserve">Queensland </w:t>
      </w:r>
      <w:r w:rsidR="00E22135" w:rsidRPr="00E22135">
        <w:rPr>
          <w:rFonts w:asciiTheme="minorHAnsi" w:hAnsiTheme="minorHAnsi" w:cstheme="minorHAnsi"/>
          <w:sz w:val="18"/>
          <w:szCs w:val="18"/>
        </w:rPr>
        <w:t xml:space="preserve">housing market </w:t>
      </w:r>
      <w:r>
        <w:rPr>
          <w:rFonts w:asciiTheme="minorHAnsi" w:hAnsiTheme="minorHAnsi" w:cstheme="minorHAnsi"/>
          <w:sz w:val="18"/>
          <w:szCs w:val="18"/>
        </w:rPr>
        <w:t>continues although f</w:t>
      </w:r>
      <w:r w:rsidR="00E22135" w:rsidRPr="00E22135">
        <w:rPr>
          <w:rFonts w:asciiTheme="minorHAnsi" w:hAnsiTheme="minorHAnsi" w:cstheme="minorHAnsi"/>
          <w:sz w:val="18"/>
          <w:szCs w:val="18"/>
        </w:rPr>
        <w:t>or units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22135" w:rsidRPr="00E22135">
        <w:rPr>
          <w:rFonts w:asciiTheme="minorHAnsi" w:hAnsiTheme="minorHAnsi" w:cstheme="minorHAnsi"/>
          <w:sz w:val="18"/>
          <w:szCs w:val="18"/>
        </w:rPr>
        <w:t>remains poor or negative. Some areas, particularly in South-East QLD including the Gold Coast and the Sunshine Coast,</w:t>
      </w:r>
      <w:r w:rsidR="00E22135">
        <w:rPr>
          <w:rFonts w:asciiTheme="minorHAnsi" w:hAnsiTheme="minorHAnsi" w:cstheme="minorHAnsi"/>
          <w:sz w:val="18"/>
          <w:szCs w:val="18"/>
        </w:rPr>
        <w:t xml:space="preserve"> </w:t>
      </w:r>
      <w:r w:rsidR="00E22135" w:rsidRPr="00E22135">
        <w:rPr>
          <w:rFonts w:asciiTheme="minorHAnsi" w:hAnsiTheme="minorHAnsi" w:cstheme="minorHAnsi"/>
          <w:sz w:val="18"/>
          <w:szCs w:val="18"/>
        </w:rPr>
        <w:t>enjoy good population growth and healthy demand for houses. Other areas, such as Central</w:t>
      </w:r>
      <w:r w:rsidR="00E22135">
        <w:rPr>
          <w:rFonts w:asciiTheme="minorHAnsi" w:hAnsiTheme="minorHAnsi" w:cstheme="minorHAnsi"/>
          <w:sz w:val="18"/>
          <w:szCs w:val="18"/>
        </w:rPr>
        <w:t xml:space="preserve"> </w:t>
      </w:r>
      <w:r w:rsidR="00E22135" w:rsidRPr="00E22135">
        <w:rPr>
          <w:rFonts w:asciiTheme="minorHAnsi" w:hAnsiTheme="minorHAnsi" w:cstheme="minorHAnsi"/>
          <w:sz w:val="18"/>
          <w:szCs w:val="18"/>
        </w:rPr>
        <w:t>QLD, are still experiencing poor demand for dwellings, very high vacancy rates and a very soft</w:t>
      </w:r>
      <w:r w:rsidR="00E22135">
        <w:rPr>
          <w:rFonts w:asciiTheme="minorHAnsi" w:hAnsiTheme="minorHAnsi" w:cstheme="minorHAnsi"/>
          <w:sz w:val="18"/>
          <w:szCs w:val="18"/>
        </w:rPr>
        <w:t xml:space="preserve"> </w:t>
      </w:r>
      <w:r w:rsidR="00E22135" w:rsidRPr="00E22135">
        <w:rPr>
          <w:rFonts w:asciiTheme="minorHAnsi" w:hAnsiTheme="minorHAnsi" w:cstheme="minorHAnsi"/>
          <w:sz w:val="18"/>
          <w:szCs w:val="18"/>
        </w:rPr>
        <w:t xml:space="preserve">property market. </w:t>
      </w:r>
      <w:r>
        <w:rPr>
          <w:rFonts w:asciiTheme="minorHAnsi" w:hAnsiTheme="minorHAnsi" w:cstheme="minorHAnsi"/>
          <w:sz w:val="18"/>
          <w:szCs w:val="18"/>
        </w:rPr>
        <w:t xml:space="preserve">An oversupply of units in </w:t>
      </w:r>
      <w:r w:rsidR="00E22135" w:rsidRPr="00E22135">
        <w:rPr>
          <w:rFonts w:asciiTheme="minorHAnsi" w:hAnsiTheme="minorHAnsi" w:cstheme="minorHAnsi"/>
          <w:sz w:val="18"/>
          <w:szCs w:val="18"/>
        </w:rPr>
        <w:t>inner</w:t>
      </w:r>
      <w:r w:rsidR="00E22135">
        <w:rPr>
          <w:rFonts w:asciiTheme="minorHAnsi" w:hAnsiTheme="minorHAnsi" w:cstheme="minorHAnsi"/>
          <w:sz w:val="18"/>
          <w:szCs w:val="18"/>
        </w:rPr>
        <w:t xml:space="preserve"> </w:t>
      </w:r>
      <w:r w:rsidR="00E22135" w:rsidRPr="00E22135">
        <w:rPr>
          <w:rFonts w:asciiTheme="minorHAnsi" w:hAnsiTheme="minorHAnsi" w:cstheme="minorHAnsi"/>
          <w:sz w:val="18"/>
          <w:szCs w:val="18"/>
        </w:rPr>
        <w:t>Brisbane</w:t>
      </w:r>
      <w:r>
        <w:rPr>
          <w:rFonts w:asciiTheme="minorHAnsi" w:hAnsiTheme="minorHAnsi" w:cstheme="minorHAnsi"/>
          <w:sz w:val="18"/>
          <w:szCs w:val="18"/>
        </w:rPr>
        <w:t xml:space="preserve"> makes this market </w:t>
      </w:r>
      <w:r w:rsidR="00E22135" w:rsidRPr="00E22135">
        <w:rPr>
          <w:rFonts w:asciiTheme="minorHAnsi" w:hAnsiTheme="minorHAnsi" w:cstheme="minorHAnsi"/>
          <w:sz w:val="18"/>
          <w:szCs w:val="18"/>
        </w:rPr>
        <w:t>particularly susceptible to the impact of potential taxation changes.</w:t>
      </w:r>
      <w:r w:rsidR="00CB093D">
        <w:rPr>
          <w:rFonts w:asciiTheme="minorHAnsi" w:hAnsiTheme="minorHAnsi" w:cstheme="minorHAnsi"/>
          <w:sz w:val="18"/>
          <w:szCs w:val="18"/>
        </w:rPr>
        <w:t xml:space="preserve"> Other areas that have </w:t>
      </w:r>
      <w:r w:rsidR="009A7AD0">
        <w:rPr>
          <w:rFonts w:asciiTheme="minorHAnsi" w:hAnsiTheme="minorHAnsi" w:cstheme="minorHAnsi"/>
          <w:sz w:val="18"/>
          <w:szCs w:val="18"/>
        </w:rPr>
        <w:t xml:space="preserve">a </w:t>
      </w:r>
      <w:r w:rsidR="00CB093D">
        <w:rPr>
          <w:rFonts w:asciiTheme="minorHAnsi" w:hAnsiTheme="minorHAnsi" w:cstheme="minorHAnsi"/>
          <w:sz w:val="18"/>
          <w:szCs w:val="18"/>
        </w:rPr>
        <w:t xml:space="preserve">high supply of new units also present high levels of risk, particularly </w:t>
      </w:r>
      <w:r w:rsidR="009A7AD0">
        <w:rPr>
          <w:rFonts w:asciiTheme="minorHAnsi" w:hAnsiTheme="minorHAnsi" w:cstheme="minorHAnsi"/>
          <w:sz w:val="18"/>
          <w:szCs w:val="18"/>
        </w:rPr>
        <w:t xml:space="preserve">where there are </w:t>
      </w:r>
      <w:r w:rsidR="00CB093D">
        <w:rPr>
          <w:rFonts w:asciiTheme="minorHAnsi" w:hAnsiTheme="minorHAnsi" w:cstheme="minorHAnsi"/>
          <w:sz w:val="18"/>
          <w:szCs w:val="18"/>
        </w:rPr>
        <w:t>relatively affordable houses as</w:t>
      </w:r>
      <w:r w:rsidR="009A7AD0">
        <w:rPr>
          <w:rFonts w:asciiTheme="minorHAnsi" w:hAnsiTheme="minorHAnsi" w:cstheme="minorHAnsi"/>
          <w:sz w:val="18"/>
          <w:szCs w:val="18"/>
        </w:rPr>
        <w:t>,</w:t>
      </w:r>
      <w:r w:rsidR="00CB093D">
        <w:rPr>
          <w:rFonts w:asciiTheme="minorHAnsi" w:hAnsiTheme="minorHAnsi" w:cstheme="minorHAnsi"/>
          <w:sz w:val="18"/>
          <w:szCs w:val="18"/>
        </w:rPr>
        <w:t xml:space="preserve"> generally</w:t>
      </w:r>
      <w:r w:rsidR="009A7AD0">
        <w:rPr>
          <w:rFonts w:asciiTheme="minorHAnsi" w:hAnsiTheme="minorHAnsi" w:cstheme="minorHAnsi"/>
          <w:sz w:val="18"/>
          <w:szCs w:val="18"/>
        </w:rPr>
        <w:t>,</w:t>
      </w:r>
      <w:r w:rsidR="00CB093D">
        <w:rPr>
          <w:rFonts w:asciiTheme="minorHAnsi" w:hAnsiTheme="minorHAnsi" w:cstheme="minorHAnsi"/>
          <w:sz w:val="18"/>
          <w:szCs w:val="18"/>
        </w:rPr>
        <w:t xml:space="preserve"> houses are </w:t>
      </w:r>
      <w:r w:rsidR="009A7AD0">
        <w:rPr>
          <w:rFonts w:asciiTheme="minorHAnsi" w:hAnsiTheme="minorHAnsi" w:cstheme="minorHAnsi"/>
          <w:sz w:val="18"/>
          <w:szCs w:val="18"/>
        </w:rPr>
        <w:t>significantly</w:t>
      </w:r>
      <w:r w:rsidR="00CB093D">
        <w:rPr>
          <w:rFonts w:asciiTheme="minorHAnsi" w:hAnsiTheme="minorHAnsi" w:cstheme="minorHAnsi"/>
          <w:sz w:val="18"/>
          <w:szCs w:val="18"/>
        </w:rPr>
        <w:t xml:space="preserve"> preferred dwelling alternative</w:t>
      </w:r>
      <w:r w:rsidR="009A7AD0">
        <w:rPr>
          <w:rFonts w:asciiTheme="minorHAnsi" w:hAnsiTheme="minorHAnsi" w:cstheme="minorHAnsi"/>
          <w:sz w:val="18"/>
          <w:szCs w:val="18"/>
        </w:rPr>
        <w:t>s</w:t>
      </w:r>
      <w:r w:rsidR="00CB093D">
        <w:rPr>
          <w:rFonts w:asciiTheme="minorHAnsi" w:hAnsiTheme="minorHAnsi" w:cstheme="minorHAnsi"/>
          <w:sz w:val="18"/>
          <w:szCs w:val="18"/>
        </w:rPr>
        <w:t>.</w:t>
      </w:r>
    </w:p>
    <w:p w14:paraId="7EBC3151" w14:textId="5406E9E2" w:rsidR="00E22135" w:rsidRPr="00E22135" w:rsidRDefault="00E22135" w:rsidP="00E22135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E22135">
        <w:rPr>
          <w:rFonts w:asciiTheme="minorHAnsi" w:hAnsiTheme="minorHAnsi" w:cstheme="minorHAnsi"/>
          <w:sz w:val="18"/>
          <w:szCs w:val="18"/>
        </w:rPr>
        <w:t xml:space="preserve">The </w:t>
      </w:r>
      <w:r w:rsidRPr="00E22135">
        <w:rPr>
          <w:rFonts w:asciiTheme="minorHAnsi" w:hAnsiTheme="minorHAnsi" w:cstheme="minorHAnsi"/>
          <w:b/>
          <w:sz w:val="18"/>
          <w:szCs w:val="18"/>
        </w:rPr>
        <w:t>South Australian</w:t>
      </w:r>
      <w:r w:rsidRPr="00E22135">
        <w:rPr>
          <w:rFonts w:asciiTheme="minorHAnsi" w:hAnsiTheme="minorHAnsi" w:cstheme="minorHAnsi"/>
          <w:sz w:val="18"/>
          <w:szCs w:val="18"/>
        </w:rPr>
        <w:t xml:space="preserve"> economy has shown some improvement</w:t>
      </w:r>
      <w:r w:rsidR="000C3B1B">
        <w:rPr>
          <w:rFonts w:asciiTheme="minorHAnsi" w:hAnsiTheme="minorHAnsi" w:cstheme="minorHAnsi"/>
          <w:sz w:val="18"/>
          <w:szCs w:val="18"/>
        </w:rPr>
        <w:t xml:space="preserve"> but s</w:t>
      </w:r>
      <w:r w:rsidRPr="00E22135">
        <w:rPr>
          <w:rFonts w:asciiTheme="minorHAnsi" w:hAnsiTheme="minorHAnsi" w:cstheme="minorHAnsi"/>
          <w:sz w:val="18"/>
          <w:szCs w:val="18"/>
        </w:rPr>
        <w:t>till has a high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effective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 xml:space="preserve">unemployment rate which </w:t>
      </w:r>
      <w:r w:rsidR="000C3B1B">
        <w:rPr>
          <w:rFonts w:asciiTheme="minorHAnsi" w:hAnsiTheme="minorHAnsi" w:cstheme="minorHAnsi"/>
          <w:sz w:val="18"/>
          <w:szCs w:val="18"/>
        </w:rPr>
        <w:t xml:space="preserve">has led </w:t>
      </w:r>
      <w:r w:rsidRPr="00E22135">
        <w:rPr>
          <w:rFonts w:asciiTheme="minorHAnsi" w:hAnsiTheme="minorHAnsi" w:cstheme="minorHAnsi"/>
          <w:sz w:val="18"/>
          <w:szCs w:val="18"/>
        </w:rPr>
        <w:t>to very low population growth and soft housing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demand</w:t>
      </w:r>
      <w:r w:rsidR="000C3B1B">
        <w:rPr>
          <w:rFonts w:asciiTheme="minorHAnsi" w:hAnsiTheme="minorHAnsi" w:cstheme="minorHAnsi"/>
          <w:sz w:val="18"/>
          <w:szCs w:val="18"/>
        </w:rPr>
        <w:t xml:space="preserve"> meaning </w:t>
      </w:r>
      <w:r w:rsidRPr="00E22135">
        <w:rPr>
          <w:rFonts w:asciiTheme="minorHAnsi" w:hAnsiTheme="minorHAnsi" w:cstheme="minorHAnsi"/>
          <w:sz w:val="18"/>
          <w:szCs w:val="18"/>
        </w:rPr>
        <w:t>only modest capital growth is forecast for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houses. However, houses in popular areas, such as Adelaide Central and Hills carry a low level of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 xml:space="preserve">risk and are projected to deliver solid long-term returns. </w:t>
      </w:r>
      <w:r w:rsidR="00CB093D">
        <w:rPr>
          <w:rFonts w:asciiTheme="minorHAnsi" w:hAnsiTheme="minorHAnsi" w:cstheme="minorHAnsi"/>
          <w:sz w:val="18"/>
          <w:szCs w:val="18"/>
        </w:rPr>
        <w:t>Some</w:t>
      </w:r>
      <w:r w:rsidRPr="00E22135">
        <w:rPr>
          <w:rFonts w:asciiTheme="minorHAnsi" w:hAnsiTheme="minorHAnsi" w:cstheme="minorHAnsi"/>
          <w:sz w:val="18"/>
          <w:szCs w:val="18"/>
        </w:rPr>
        <w:t xml:space="preserve"> areas </w:t>
      </w:r>
      <w:r w:rsidR="000C3B1B">
        <w:rPr>
          <w:rFonts w:asciiTheme="minorHAnsi" w:hAnsiTheme="minorHAnsi" w:cstheme="minorHAnsi"/>
          <w:sz w:val="18"/>
          <w:szCs w:val="18"/>
        </w:rPr>
        <w:t>have unit oversupply and are</w:t>
      </w:r>
      <w:r w:rsidRPr="00E22135">
        <w:rPr>
          <w:rFonts w:asciiTheme="minorHAnsi" w:hAnsiTheme="minorHAnsi" w:cstheme="minorHAnsi"/>
          <w:sz w:val="18"/>
          <w:szCs w:val="18"/>
        </w:rPr>
        <w:t xml:space="preserve"> experiencing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weakness</w:t>
      </w:r>
      <w:r w:rsidR="000C3B1B">
        <w:rPr>
          <w:rFonts w:asciiTheme="minorHAnsi" w:hAnsiTheme="minorHAnsi" w:cstheme="minorHAnsi"/>
          <w:sz w:val="18"/>
          <w:szCs w:val="18"/>
        </w:rPr>
        <w:t>, particularly</w:t>
      </w:r>
      <w:r w:rsidRPr="00E22135">
        <w:rPr>
          <w:rFonts w:asciiTheme="minorHAnsi" w:hAnsiTheme="minorHAnsi" w:cstheme="minorHAnsi"/>
          <w:sz w:val="18"/>
          <w:szCs w:val="18"/>
        </w:rPr>
        <w:t xml:space="preserve"> Adelaide CBD</w:t>
      </w:r>
      <w:r w:rsidR="000C3B1B">
        <w:rPr>
          <w:rFonts w:asciiTheme="minorHAnsi" w:hAnsiTheme="minorHAnsi" w:cstheme="minorHAnsi"/>
          <w:sz w:val="18"/>
          <w:szCs w:val="18"/>
        </w:rPr>
        <w:t xml:space="preserve"> where poor</w:t>
      </w:r>
      <w:r w:rsidRPr="00E22135">
        <w:rPr>
          <w:rFonts w:asciiTheme="minorHAnsi" w:hAnsiTheme="minorHAnsi" w:cstheme="minorHAnsi"/>
          <w:sz w:val="18"/>
          <w:szCs w:val="18"/>
        </w:rPr>
        <w:t xml:space="preserve"> growth is forecast.</w:t>
      </w:r>
    </w:p>
    <w:p w14:paraId="69DFF206" w14:textId="00204CFA" w:rsidR="00E22135" w:rsidRPr="00E22135" w:rsidRDefault="00E22135" w:rsidP="00E22135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E22135">
        <w:rPr>
          <w:rFonts w:asciiTheme="minorHAnsi" w:hAnsiTheme="minorHAnsi" w:cstheme="minorHAnsi"/>
          <w:sz w:val="18"/>
          <w:szCs w:val="18"/>
        </w:rPr>
        <w:t xml:space="preserve">In </w:t>
      </w:r>
      <w:r w:rsidRPr="00E22135">
        <w:rPr>
          <w:rFonts w:asciiTheme="minorHAnsi" w:hAnsiTheme="minorHAnsi" w:cstheme="minorHAnsi"/>
          <w:b/>
          <w:sz w:val="18"/>
          <w:szCs w:val="18"/>
        </w:rPr>
        <w:t>Western Australia</w:t>
      </w:r>
      <w:r w:rsidRPr="00E22135">
        <w:rPr>
          <w:rFonts w:asciiTheme="minorHAnsi" w:hAnsiTheme="minorHAnsi" w:cstheme="minorHAnsi"/>
          <w:sz w:val="18"/>
          <w:szCs w:val="18"/>
        </w:rPr>
        <w:t>, lending restrictions had the most impact thanks to its weaker economy. Perth prices, which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 xml:space="preserve">had stabilised, </w:t>
      </w:r>
      <w:r w:rsidR="00F51E39">
        <w:rPr>
          <w:rFonts w:asciiTheme="minorHAnsi" w:hAnsiTheme="minorHAnsi" w:cstheme="minorHAnsi"/>
          <w:sz w:val="18"/>
          <w:szCs w:val="18"/>
        </w:rPr>
        <w:t xml:space="preserve">began to </w:t>
      </w:r>
      <w:r w:rsidRPr="00E22135">
        <w:rPr>
          <w:rFonts w:asciiTheme="minorHAnsi" w:hAnsiTheme="minorHAnsi" w:cstheme="minorHAnsi"/>
          <w:sz w:val="18"/>
          <w:szCs w:val="18"/>
        </w:rPr>
        <w:t>fall once again. The impact is expected to increase if a blanket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 xml:space="preserve">approach is also taken when implementing the proposed taxation changes. While </w:t>
      </w:r>
      <w:r w:rsidR="00F51E39">
        <w:rPr>
          <w:rFonts w:asciiTheme="minorHAnsi" w:hAnsiTheme="minorHAnsi" w:cstheme="minorHAnsi"/>
          <w:sz w:val="18"/>
          <w:szCs w:val="18"/>
        </w:rPr>
        <w:t xml:space="preserve">the state’s </w:t>
      </w:r>
      <w:r w:rsidRPr="00E22135">
        <w:rPr>
          <w:rFonts w:asciiTheme="minorHAnsi" w:hAnsiTheme="minorHAnsi" w:cstheme="minorHAnsi"/>
          <w:sz w:val="18"/>
          <w:szCs w:val="18"/>
        </w:rPr>
        <w:t>economy has returned to positive growth, a combination of a very high effective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unemployment rate, low population growth and a significantly below-average economic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activity level has resulted in price reductions for both houses and units. Finally, units carry a very high risk due to the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combination of oversupply, lending restrictions and low demand, particularly in central Perth.</w:t>
      </w:r>
    </w:p>
    <w:p w14:paraId="69F5B5F2" w14:textId="3DBCE8F5" w:rsidR="00E22135" w:rsidRPr="00E22135" w:rsidRDefault="00E22135" w:rsidP="00E22135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E22135">
        <w:rPr>
          <w:rFonts w:asciiTheme="minorHAnsi" w:hAnsiTheme="minorHAnsi" w:cstheme="minorHAnsi"/>
          <w:b/>
          <w:sz w:val="18"/>
          <w:szCs w:val="18"/>
        </w:rPr>
        <w:t>Tasmania</w:t>
      </w:r>
      <w:r w:rsidRPr="00E22135">
        <w:rPr>
          <w:rFonts w:asciiTheme="minorHAnsi" w:hAnsiTheme="minorHAnsi" w:cstheme="minorHAnsi"/>
          <w:sz w:val="18"/>
          <w:szCs w:val="18"/>
        </w:rPr>
        <w:t xml:space="preserve"> leads the country in investment serviceability with its high median rental returns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 xml:space="preserve">and low average dwelling price. However, </w:t>
      </w:r>
      <w:r w:rsidR="00E52C93" w:rsidRPr="00E52C93">
        <w:rPr>
          <w:rFonts w:asciiTheme="minorHAnsi" w:hAnsiTheme="minorHAnsi" w:cstheme="minorHAnsi"/>
          <w:sz w:val="18"/>
          <w:szCs w:val="18"/>
        </w:rPr>
        <w:t>Hobart has gone off the boil, with CoreLogic figures showing a 0.9 per cent slide of dwelling prices last month. Houses fell 1.2%, while unit growth was only 0.3% in March.</w:t>
      </w:r>
      <w:r w:rsidR="00E52C93"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A significant increase in dwelling prices in recent years, less affordable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housing, decelerated price growth, fewer people turning up to open home inspections and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fewer inquiries on listings, indicate that housing affordability has made an impact and that the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growth rate was unsustainable. It is projected to significantly decelerate in 2019 and further into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2020, with some areas likely to deliver very low or negative capital growth.</w:t>
      </w:r>
    </w:p>
    <w:p w14:paraId="71C14EBF" w14:textId="28476CD4" w:rsidR="00E22135" w:rsidRDefault="00E22135" w:rsidP="00E22135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E22135">
        <w:rPr>
          <w:rFonts w:asciiTheme="minorHAnsi" w:hAnsiTheme="minorHAnsi" w:cstheme="minorHAnsi"/>
          <w:sz w:val="18"/>
          <w:szCs w:val="18"/>
        </w:rPr>
        <w:t xml:space="preserve">The </w:t>
      </w:r>
      <w:r w:rsidRPr="00E22135">
        <w:rPr>
          <w:rFonts w:asciiTheme="minorHAnsi" w:hAnsiTheme="minorHAnsi" w:cstheme="minorHAnsi"/>
          <w:b/>
          <w:sz w:val="18"/>
          <w:szCs w:val="18"/>
        </w:rPr>
        <w:t>Northern Territory</w:t>
      </w:r>
      <w:r w:rsidRPr="00E22135">
        <w:rPr>
          <w:rFonts w:asciiTheme="minorHAnsi" w:hAnsiTheme="minorHAnsi" w:cstheme="minorHAnsi"/>
          <w:sz w:val="18"/>
          <w:szCs w:val="18"/>
        </w:rPr>
        <w:t xml:space="preserve"> experienced poor population growth resulting in negative dwelling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growth and a very soft property market. Poor demand for dwellings and price reductions,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 xml:space="preserve">combined with a relatively high median household income have resulted in </w:t>
      </w:r>
      <w:r w:rsidR="00E52C93" w:rsidRPr="00E22135">
        <w:rPr>
          <w:rFonts w:asciiTheme="minorHAnsi" w:hAnsiTheme="minorHAnsi" w:cstheme="minorHAnsi"/>
          <w:sz w:val="18"/>
          <w:szCs w:val="18"/>
        </w:rPr>
        <w:t xml:space="preserve">the </w:t>
      </w:r>
      <w:r w:rsidR="00CB093D">
        <w:rPr>
          <w:rFonts w:asciiTheme="minorHAnsi" w:hAnsiTheme="minorHAnsi" w:cstheme="minorHAnsi"/>
          <w:sz w:val="18"/>
          <w:szCs w:val="18"/>
        </w:rPr>
        <w:t xml:space="preserve">most affordable dwellings (i.e. the </w:t>
      </w:r>
      <w:r w:rsidR="00E52C93" w:rsidRPr="00E22135">
        <w:rPr>
          <w:rFonts w:asciiTheme="minorHAnsi" w:hAnsiTheme="minorHAnsi" w:cstheme="minorHAnsi"/>
          <w:sz w:val="18"/>
          <w:szCs w:val="18"/>
        </w:rPr>
        <w:t xml:space="preserve">lowest </w:t>
      </w:r>
      <w:r w:rsidRPr="00E22135">
        <w:rPr>
          <w:rFonts w:asciiTheme="minorHAnsi" w:hAnsiTheme="minorHAnsi" w:cstheme="minorHAnsi"/>
          <w:sz w:val="18"/>
          <w:szCs w:val="18"/>
        </w:rPr>
        <w:t>price-to-income ratio</w:t>
      </w:r>
      <w:r w:rsidR="00CB093D">
        <w:rPr>
          <w:rFonts w:asciiTheme="minorHAnsi" w:hAnsiTheme="minorHAnsi" w:cstheme="minorHAnsi"/>
          <w:sz w:val="18"/>
          <w:szCs w:val="18"/>
        </w:rPr>
        <w:t>)</w:t>
      </w:r>
      <w:r w:rsidRPr="00E22135">
        <w:rPr>
          <w:rFonts w:asciiTheme="minorHAnsi" w:hAnsiTheme="minorHAnsi" w:cstheme="minorHAnsi"/>
          <w:sz w:val="18"/>
          <w:szCs w:val="18"/>
        </w:rPr>
        <w:t xml:space="preserve"> in the country. </w:t>
      </w:r>
      <w:r w:rsidR="00E52C93">
        <w:rPr>
          <w:rFonts w:asciiTheme="minorHAnsi" w:hAnsiTheme="minorHAnsi" w:cstheme="minorHAnsi"/>
          <w:sz w:val="18"/>
          <w:szCs w:val="18"/>
        </w:rPr>
        <w:t>The</w:t>
      </w:r>
      <w:r w:rsidRPr="00E22135">
        <w:rPr>
          <w:rFonts w:asciiTheme="minorHAnsi" w:hAnsiTheme="minorHAnsi" w:cstheme="minorHAnsi"/>
          <w:sz w:val="18"/>
          <w:szCs w:val="18"/>
        </w:rPr>
        <w:t xml:space="preserve"> </w:t>
      </w:r>
      <w:r w:rsidR="00E52C93">
        <w:rPr>
          <w:rFonts w:asciiTheme="minorHAnsi" w:hAnsiTheme="minorHAnsi" w:cstheme="minorHAnsi"/>
          <w:sz w:val="18"/>
          <w:szCs w:val="18"/>
        </w:rPr>
        <w:t>property</w:t>
      </w:r>
      <w:r w:rsidRPr="00E22135">
        <w:rPr>
          <w:rFonts w:asciiTheme="minorHAnsi" w:hAnsiTheme="minorHAnsi" w:cstheme="minorHAnsi"/>
          <w:sz w:val="18"/>
          <w:szCs w:val="18"/>
        </w:rPr>
        <w:t xml:space="preserve"> market is projected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to remain soft, particularly for units. Furthermore, it is likely that the NT housing market will be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a victim of unintended consequences from the blanket implementation of the potential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2135">
        <w:rPr>
          <w:rFonts w:asciiTheme="minorHAnsi" w:hAnsiTheme="minorHAnsi" w:cstheme="minorHAnsi"/>
          <w:sz w:val="18"/>
          <w:szCs w:val="18"/>
        </w:rPr>
        <w:t>taxation changes</w:t>
      </w:r>
      <w:r w:rsidR="00CB093D">
        <w:rPr>
          <w:rFonts w:asciiTheme="minorHAnsi" w:hAnsiTheme="minorHAnsi" w:cstheme="minorHAnsi"/>
          <w:sz w:val="18"/>
          <w:szCs w:val="18"/>
        </w:rPr>
        <w:t xml:space="preserve"> that will further reduce investor activity.</w:t>
      </w:r>
    </w:p>
    <w:p w14:paraId="76635462" w14:textId="1FF6F6F1" w:rsidR="004B6920" w:rsidRPr="00E22135" w:rsidRDefault="004B6920" w:rsidP="00E22135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E22135">
        <w:rPr>
          <w:rFonts w:asciiTheme="minorHAnsi" w:hAnsiTheme="minorHAnsi" w:cstheme="minorHAnsi"/>
          <w:sz w:val="18"/>
          <w:szCs w:val="18"/>
        </w:rPr>
        <w:t xml:space="preserve">Visit </w:t>
      </w:r>
      <w:hyperlink r:id="rId11" w:history="1">
        <w:r w:rsidRPr="00E22135">
          <w:rPr>
            <w:rStyle w:val="Hyperlink"/>
            <w:rFonts w:asciiTheme="minorHAnsi" w:hAnsiTheme="minorHAnsi" w:cstheme="minorHAnsi"/>
            <w:sz w:val="18"/>
            <w:szCs w:val="18"/>
          </w:rPr>
          <w:t>www.riskwiseproperty.com.au</w:t>
        </w:r>
      </w:hyperlink>
    </w:p>
    <w:p w14:paraId="1BF9C449" w14:textId="2A9D9943" w:rsidR="004B6920" w:rsidRPr="009B6DF4" w:rsidRDefault="004B6920" w:rsidP="004B6920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9B6DF4">
        <w:rPr>
          <w:rFonts w:asciiTheme="minorHAnsi" w:hAnsiTheme="minorHAnsi" w:cstheme="minorHAnsi"/>
          <w:sz w:val="20"/>
          <w:szCs w:val="20"/>
        </w:rPr>
        <w:t>ENDS</w:t>
      </w:r>
    </w:p>
    <w:p w14:paraId="7B0D70C9" w14:textId="77777777" w:rsidR="004B6920" w:rsidRDefault="004B6920" w:rsidP="004B6920">
      <w:pPr>
        <w:spacing w:after="240"/>
        <w:jc w:val="both"/>
      </w:pPr>
    </w:p>
    <w:p w14:paraId="228ABD15" w14:textId="77777777" w:rsidR="000E20F5" w:rsidRDefault="000E20F5" w:rsidP="000605B8">
      <w:pPr>
        <w:spacing w:after="240"/>
        <w:jc w:val="both"/>
        <w:rPr>
          <w:rFonts w:asciiTheme="minorHAnsi" w:hAnsiTheme="minorHAnsi" w:cstheme="minorHAnsi"/>
          <w:b/>
          <w:i/>
        </w:rPr>
      </w:pPr>
      <w:bookmarkStart w:id="2" w:name="_Hlk507570732"/>
    </w:p>
    <w:p w14:paraId="21D74A92" w14:textId="0AB37B38" w:rsidR="000605B8" w:rsidRPr="00862C03" w:rsidRDefault="000605B8" w:rsidP="000605B8">
      <w:pPr>
        <w:spacing w:after="2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62C03">
        <w:rPr>
          <w:rFonts w:asciiTheme="minorHAnsi" w:hAnsiTheme="minorHAnsi" w:cstheme="minorHAnsi"/>
          <w:b/>
          <w:i/>
          <w:sz w:val="18"/>
          <w:szCs w:val="18"/>
        </w:rPr>
        <w:t xml:space="preserve">About </w:t>
      </w:r>
      <w:proofErr w:type="spellStart"/>
      <w:r w:rsidRPr="00862C03">
        <w:rPr>
          <w:rFonts w:asciiTheme="minorHAnsi" w:hAnsiTheme="minorHAnsi" w:cstheme="minorHAnsi"/>
          <w:b/>
          <w:i/>
          <w:sz w:val="18"/>
          <w:szCs w:val="18"/>
        </w:rPr>
        <w:t>Risk</w:t>
      </w:r>
      <w:r w:rsidR="00011DFF" w:rsidRPr="00862C03">
        <w:rPr>
          <w:rFonts w:asciiTheme="minorHAnsi" w:hAnsiTheme="minorHAnsi" w:cstheme="minorHAnsi"/>
          <w:b/>
          <w:i/>
          <w:sz w:val="18"/>
          <w:szCs w:val="18"/>
        </w:rPr>
        <w:t>W</w:t>
      </w:r>
      <w:r w:rsidRPr="00862C03">
        <w:rPr>
          <w:rFonts w:asciiTheme="minorHAnsi" w:hAnsiTheme="minorHAnsi" w:cstheme="minorHAnsi"/>
          <w:b/>
          <w:i/>
          <w:sz w:val="18"/>
          <w:szCs w:val="18"/>
        </w:rPr>
        <w:t>ise</w:t>
      </w:r>
      <w:proofErr w:type="spellEnd"/>
      <w:r w:rsidRPr="00862C03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14:paraId="402F12A0" w14:textId="19DF6474" w:rsidR="00D2320A" w:rsidRPr="00862C03" w:rsidRDefault="00D2320A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862C03">
        <w:rPr>
          <w:rFonts w:asciiTheme="minorHAnsi" w:hAnsiTheme="minorHAnsi" w:cstheme="minorHAnsi"/>
          <w:sz w:val="18"/>
          <w:szCs w:val="18"/>
        </w:rPr>
        <w:t>RiskWise</w:t>
      </w:r>
      <w:proofErr w:type="spellEnd"/>
      <w:r w:rsidRPr="00862C03">
        <w:rPr>
          <w:rFonts w:asciiTheme="minorHAnsi" w:hAnsiTheme="minorHAnsi" w:cstheme="minorHAnsi"/>
          <w:sz w:val="18"/>
          <w:szCs w:val="18"/>
        </w:rPr>
        <w:t xml:space="preserve"> Property Re</w:t>
      </w:r>
      <w:r w:rsidR="00AD2ED0" w:rsidRPr="00862C03">
        <w:rPr>
          <w:rFonts w:asciiTheme="minorHAnsi" w:hAnsiTheme="minorHAnsi" w:cstheme="minorHAnsi"/>
          <w:sz w:val="18"/>
          <w:szCs w:val="18"/>
        </w:rPr>
        <w:t>search</w:t>
      </w:r>
      <w:r w:rsidRPr="00862C03">
        <w:rPr>
          <w:rFonts w:asciiTheme="minorHAnsi" w:hAnsiTheme="minorHAnsi" w:cstheme="minorHAnsi"/>
          <w:sz w:val="18"/>
          <w:szCs w:val="18"/>
        </w:rPr>
        <w:t xml:space="preserve"> was formed in 2016 with the goal of providing property risk advise and research services to help its clients make informed purchasing decisions. </w:t>
      </w:r>
    </w:p>
    <w:p w14:paraId="7B2B6528" w14:textId="1D2E47C0" w:rsidR="00D2320A" w:rsidRPr="00862C03" w:rsidRDefault="00D2320A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62C03">
        <w:rPr>
          <w:rFonts w:asciiTheme="minorHAnsi" w:hAnsiTheme="minorHAnsi" w:cstheme="minorHAnsi"/>
          <w:sz w:val="18"/>
          <w:szCs w:val="18"/>
        </w:rPr>
        <w:t>Its goal is to provide private investors, home buyers, property professionals and institutional clients with detailed risk information to support smarter decision making. Its vision is to be a global leader in property risk rating and research helping its clients to achieve deeper risk insights so they can make smarter property investment decisions.</w:t>
      </w:r>
    </w:p>
    <w:p w14:paraId="13835FE1" w14:textId="02907FAD" w:rsidR="001A5F16" w:rsidRPr="00862C03" w:rsidRDefault="001A5F16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62C03">
        <w:rPr>
          <w:rFonts w:asciiTheme="minorHAnsi" w:hAnsiTheme="minorHAnsi" w:cstheme="minorHAnsi"/>
          <w:sz w:val="18"/>
          <w:szCs w:val="18"/>
        </w:rPr>
        <w:t xml:space="preserve">Visit </w:t>
      </w:r>
      <w:hyperlink r:id="rId12" w:history="1">
        <w:r w:rsidRPr="00862C03">
          <w:rPr>
            <w:rStyle w:val="Hyperlink"/>
            <w:rFonts w:asciiTheme="minorHAnsi" w:hAnsiTheme="minorHAnsi" w:cstheme="minorHAnsi"/>
            <w:sz w:val="18"/>
            <w:szCs w:val="18"/>
          </w:rPr>
          <w:t>www.riskwiseproperty.com.au</w:t>
        </w:r>
      </w:hyperlink>
    </w:p>
    <w:p w14:paraId="0958DC62" w14:textId="310B6063" w:rsidR="004E7308" w:rsidRPr="00862C03" w:rsidRDefault="000605B8" w:rsidP="004E7308">
      <w:pPr>
        <w:pStyle w:val="Heading1"/>
        <w:keepNext w:val="0"/>
        <w:keepLines w:val="0"/>
        <w:spacing w:before="480" w:after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C03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1D9C0657" wp14:editId="05AC0011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694055" cy="704850"/>
            <wp:effectExtent l="0" t="0" r="0" b="0"/>
            <wp:wrapSquare wrapText="bothSides"/>
            <wp:docPr id="5" name="Picture 5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C03">
        <w:rPr>
          <w:rFonts w:asciiTheme="minorHAnsi" w:hAnsiTheme="minorHAnsi" w:cstheme="minorHAnsi"/>
          <w:b/>
          <w:sz w:val="18"/>
          <w:szCs w:val="18"/>
        </w:rPr>
        <w:t xml:space="preserve">To organise an interview with </w:t>
      </w:r>
      <w:proofErr w:type="spellStart"/>
      <w:r w:rsidR="00067689" w:rsidRPr="00862C03">
        <w:rPr>
          <w:rFonts w:asciiTheme="minorHAnsi" w:hAnsiTheme="minorHAnsi" w:cstheme="minorHAnsi"/>
          <w:b/>
          <w:sz w:val="18"/>
          <w:szCs w:val="18"/>
        </w:rPr>
        <w:t>RiskWise</w:t>
      </w:r>
      <w:proofErr w:type="spellEnd"/>
      <w:r w:rsidR="00067689" w:rsidRPr="00862C03">
        <w:rPr>
          <w:rFonts w:asciiTheme="minorHAnsi" w:hAnsiTheme="minorHAnsi" w:cstheme="minorHAnsi"/>
          <w:b/>
          <w:sz w:val="18"/>
          <w:szCs w:val="18"/>
        </w:rPr>
        <w:t xml:space="preserve"> CEO </w:t>
      </w:r>
      <w:r w:rsidRPr="00862C03">
        <w:rPr>
          <w:rFonts w:asciiTheme="minorHAnsi" w:hAnsiTheme="minorHAnsi" w:cstheme="minorHAnsi"/>
          <w:b/>
          <w:sz w:val="18"/>
          <w:szCs w:val="18"/>
        </w:rPr>
        <w:t>Doron Peleg please contact:</w:t>
      </w:r>
    </w:p>
    <w:p w14:paraId="0B293C71" w14:textId="77777777" w:rsidR="000605B8" w:rsidRPr="00862C03" w:rsidRDefault="000605B8" w:rsidP="000605B8">
      <w:pPr>
        <w:jc w:val="both"/>
        <w:rPr>
          <w:rFonts w:ascii="Lato" w:hAnsi="Lato"/>
          <w:sz w:val="20"/>
          <w:szCs w:val="20"/>
        </w:rPr>
      </w:pPr>
      <w:r>
        <w:rPr>
          <w:rStyle w:val="size"/>
          <w:b/>
          <w:bCs/>
        </w:rPr>
        <w:t xml:space="preserve"> </w:t>
      </w:r>
      <w:r w:rsidRPr="00862C03">
        <w:rPr>
          <w:rStyle w:val="size"/>
          <w:b/>
          <w:bCs/>
          <w:sz w:val="20"/>
          <w:szCs w:val="20"/>
        </w:rPr>
        <w:t>Vanessa Jones</w:t>
      </w:r>
    </w:p>
    <w:p w14:paraId="4800666F" w14:textId="0AC21EC4" w:rsidR="000605B8" w:rsidRPr="00862C03" w:rsidRDefault="000605B8" w:rsidP="000605B8">
      <w:pPr>
        <w:jc w:val="both"/>
        <w:rPr>
          <w:rStyle w:val="font"/>
          <w:sz w:val="18"/>
          <w:szCs w:val="18"/>
        </w:rPr>
      </w:pPr>
      <w:r>
        <w:rPr>
          <w:rStyle w:val="font"/>
          <w:sz w:val="20"/>
          <w:szCs w:val="20"/>
        </w:rPr>
        <w:t xml:space="preserve">  </w:t>
      </w:r>
      <w:r w:rsidRPr="00862C03">
        <w:rPr>
          <w:rStyle w:val="font"/>
          <w:sz w:val="18"/>
          <w:szCs w:val="18"/>
        </w:rPr>
        <w:t xml:space="preserve">Media &amp; Communications Manager, </w:t>
      </w:r>
      <w:proofErr w:type="spellStart"/>
      <w:r w:rsidRPr="00862C03">
        <w:rPr>
          <w:rStyle w:val="font"/>
          <w:sz w:val="18"/>
          <w:szCs w:val="18"/>
        </w:rPr>
        <w:t>RiskWise</w:t>
      </w:r>
      <w:proofErr w:type="spellEnd"/>
      <w:r w:rsidRPr="00862C03">
        <w:rPr>
          <w:rStyle w:val="font"/>
          <w:sz w:val="18"/>
          <w:szCs w:val="18"/>
        </w:rPr>
        <w:t xml:space="preserve"> Property Re</w:t>
      </w:r>
      <w:r w:rsidR="00204852" w:rsidRPr="00862C03">
        <w:rPr>
          <w:rStyle w:val="font"/>
          <w:sz w:val="18"/>
          <w:szCs w:val="18"/>
        </w:rPr>
        <w:t>search</w:t>
      </w:r>
    </w:p>
    <w:p w14:paraId="06C85F36" w14:textId="24653318" w:rsidR="007815D4" w:rsidRPr="00862C03" w:rsidRDefault="007815D4" w:rsidP="000605B8">
      <w:pPr>
        <w:jc w:val="both"/>
        <w:rPr>
          <w:rFonts w:ascii="Lato" w:hAnsi="Lato"/>
          <w:sz w:val="18"/>
          <w:szCs w:val="18"/>
        </w:rPr>
      </w:pPr>
      <w:r w:rsidRPr="00862C03">
        <w:rPr>
          <w:b/>
          <w:bCs/>
          <w:sz w:val="18"/>
          <w:szCs w:val="18"/>
          <w:shd w:val="clear" w:color="auto" w:fill="FFFFFF"/>
        </w:rPr>
        <w:t xml:space="preserve">  Australia’s most innovative property research house</w:t>
      </w:r>
    </w:p>
    <w:p w14:paraId="526690AE" w14:textId="77777777" w:rsidR="000605B8" w:rsidRPr="00862C03" w:rsidRDefault="000605B8" w:rsidP="000605B8">
      <w:pPr>
        <w:jc w:val="both"/>
        <w:rPr>
          <w:rFonts w:ascii="Lato" w:hAnsi="Lato"/>
          <w:sz w:val="18"/>
          <w:szCs w:val="18"/>
        </w:rPr>
      </w:pPr>
      <w:r w:rsidRPr="00862C03">
        <w:rPr>
          <w:rStyle w:val="font"/>
          <w:sz w:val="18"/>
          <w:szCs w:val="18"/>
        </w:rPr>
        <w:t xml:space="preserve">  0421 057 129 | </w:t>
      </w:r>
      <w:hyperlink r:id="rId14" w:history="1">
        <w:r w:rsidRPr="00862C03">
          <w:rPr>
            <w:rStyle w:val="Hyperlink"/>
            <w:sz w:val="18"/>
            <w:szCs w:val="18"/>
          </w:rPr>
          <w:t>Vanessa.Jones@riskwiseproperty.com.au</w:t>
        </w:r>
      </w:hyperlink>
      <w:r w:rsidRPr="00862C03">
        <w:rPr>
          <w:rStyle w:val="font"/>
          <w:sz w:val="18"/>
          <w:szCs w:val="18"/>
        </w:rPr>
        <w:t> |</w:t>
      </w:r>
    </w:p>
    <w:p w14:paraId="7893E8BE" w14:textId="2DFCD361" w:rsidR="00442D26" w:rsidRDefault="000605B8" w:rsidP="000E20F5">
      <w:pPr>
        <w:spacing w:after="240"/>
        <w:jc w:val="both"/>
        <w:rPr>
          <w:sz w:val="24"/>
          <w:szCs w:val="24"/>
        </w:rPr>
      </w:pPr>
      <w:r w:rsidRPr="00862C03">
        <w:rPr>
          <w:rStyle w:val="colour"/>
          <w:sz w:val="18"/>
          <w:szCs w:val="18"/>
        </w:rPr>
        <w:t>  </w:t>
      </w:r>
      <w:hyperlink r:id="rId15" w:history="1">
        <w:r w:rsidRPr="00862C03">
          <w:rPr>
            <w:rStyle w:val="Hyperlink"/>
            <w:color w:val="598FDE"/>
            <w:sz w:val="18"/>
            <w:szCs w:val="18"/>
          </w:rPr>
          <w:t>www.riskwiseproperty.com.au</w:t>
        </w:r>
      </w:hyperlink>
      <w:r w:rsidRPr="00862C03">
        <w:rPr>
          <w:rStyle w:val="colour"/>
          <w:color w:val="0065CC"/>
          <w:sz w:val="18"/>
          <w:szCs w:val="18"/>
        </w:rPr>
        <w:t> </w:t>
      </w:r>
      <w:r w:rsidRPr="00862C03">
        <w:rPr>
          <w:rStyle w:val="font"/>
          <w:sz w:val="18"/>
          <w:szCs w:val="18"/>
        </w:rPr>
        <w:t xml:space="preserve">| </w:t>
      </w:r>
      <w:r w:rsidR="00204852" w:rsidRPr="00862C03">
        <w:rPr>
          <w:rStyle w:val="font"/>
          <w:sz w:val="18"/>
          <w:szCs w:val="18"/>
        </w:rPr>
        <w:t>Queensland</w:t>
      </w:r>
      <w:r w:rsidRPr="00862C03">
        <w:rPr>
          <w:rStyle w:val="font"/>
          <w:sz w:val="18"/>
          <w:szCs w:val="18"/>
        </w:rPr>
        <w:t>, Australia</w:t>
      </w:r>
      <w:r w:rsidRPr="00AD4279">
        <w:rPr>
          <w:rFonts w:asciiTheme="minorHAnsi" w:hAnsiTheme="minorHAnsi" w:cstheme="minorHAnsi"/>
          <w:sz w:val="28"/>
          <w:szCs w:val="28"/>
        </w:rPr>
        <w:t xml:space="preserve"> </w:t>
      </w:r>
      <w:bookmarkEnd w:id="2"/>
      <w:r w:rsidR="00152FD1">
        <w:rPr>
          <w:sz w:val="24"/>
          <w:szCs w:val="24"/>
        </w:rPr>
        <w:t xml:space="preserve"> </w:t>
      </w:r>
    </w:p>
    <w:p w14:paraId="5D54ACFE" w14:textId="77777777" w:rsidR="00442D26" w:rsidRDefault="00442D26" w:rsidP="000B026C">
      <w:pPr>
        <w:spacing w:after="240"/>
      </w:pPr>
    </w:p>
    <w:sectPr w:rsidR="00442D26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2F7B" w14:textId="77777777" w:rsidR="008C3161" w:rsidRDefault="008C3161" w:rsidP="00333A74">
      <w:pPr>
        <w:spacing w:line="240" w:lineRule="auto"/>
      </w:pPr>
      <w:r>
        <w:separator/>
      </w:r>
    </w:p>
  </w:endnote>
  <w:endnote w:type="continuationSeparator" w:id="0">
    <w:p w14:paraId="7D869810" w14:textId="77777777" w:rsidR="008C3161" w:rsidRDefault="008C3161" w:rsidP="00333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5E4A" w14:textId="77777777" w:rsidR="008C3161" w:rsidRDefault="008C3161" w:rsidP="00333A74">
      <w:pPr>
        <w:spacing w:line="240" w:lineRule="auto"/>
      </w:pPr>
      <w:r>
        <w:separator/>
      </w:r>
    </w:p>
  </w:footnote>
  <w:footnote w:type="continuationSeparator" w:id="0">
    <w:p w14:paraId="5D8DCB26" w14:textId="77777777" w:rsidR="008C3161" w:rsidRDefault="008C3161" w:rsidP="00333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CF7F" w14:textId="77777777" w:rsidR="00B26C01" w:rsidRDefault="00B26C01">
    <w:pPr>
      <w:pStyle w:val="Header"/>
    </w:pPr>
  </w:p>
  <w:p w14:paraId="59CC5BF7" w14:textId="55585E14" w:rsidR="00B26C01" w:rsidRDefault="00B26C01">
    <w:pPr>
      <w:pStyle w:val="Header"/>
    </w:pPr>
    <w:r>
      <w:rPr>
        <w:noProof/>
      </w:rPr>
      <w:drawing>
        <wp:inline distT="0" distB="0" distL="0" distR="0" wp14:anchorId="2081AF84" wp14:editId="2C21989F">
          <wp:extent cx="3509370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5779" cy="1241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E0ACB" w14:textId="71F6CCA9" w:rsidR="00177219" w:rsidRDefault="00177219">
    <w:pPr>
      <w:pStyle w:val="Header"/>
    </w:pPr>
  </w:p>
  <w:p w14:paraId="24165E11" w14:textId="77777777" w:rsidR="00067689" w:rsidRDefault="00067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B65539"/>
    <w:multiLevelType w:val="hybridMultilevel"/>
    <w:tmpl w:val="ECE0C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F6F"/>
    <w:multiLevelType w:val="hybridMultilevel"/>
    <w:tmpl w:val="507C0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CF6"/>
    <w:multiLevelType w:val="hybridMultilevel"/>
    <w:tmpl w:val="51EC2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1DD"/>
    <w:multiLevelType w:val="hybridMultilevel"/>
    <w:tmpl w:val="ED14A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A4158"/>
    <w:multiLevelType w:val="hybridMultilevel"/>
    <w:tmpl w:val="AE7E8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55777"/>
    <w:multiLevelType w:val="hybridMultilevel"/>
    <w:tmpl w:val="AB5EE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501C"/>
    <w:multiLevelType w:val="multilevel"/>
    <w:tmpl w:val="FB8C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61477"/>
    <w:multiLevelType w:val="hybridMultilevel"/>
    <w:tmpl w:val="488C8F6A"/>
    <w:lvl w:ilvl="0" w:tplc="BA80721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0503F"/>
    <w:multiLevelType w:val="hybridMultilevel"/>
    <w:tmpl w:val="823E20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465606"/>
    <w:multiLevelType w:val="hybridMultilevel"/>
    <w:tmpl w:val="C69CF1AA"/>
    <w:lvl w:ilvl="0" w:tplc="189EE38A">
      <w:start w:val="2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E26A0"/>
    <w:multiLevelType w:val="hybridMultilevel"/>
    <w:tmpl w:val="2830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0462E"/>
    <w:multiLevelType w:val="hybridMultilevel"/>
    <w:tmpl w:val="0A42D7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E0E2C8E"/>
    <w:multiLevelType w:val="hybridMultilevel"/>
    <w:tmpl w:val="2222E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26"/>
    <w:rsid w:val="00000720"/>
    <w:rsid w:val="00011DFF"/>
    <w:rsid w:val="0001718C"/>
    <w:rsid w:val="00017701"/>
    <w:rsid w:val="000206EB"/>
    <w:rsid w:val="0003268B"/>
    <w:rsid w:val="0004594B"/>
    <w:rsid w:val="000467C9"/>
    <w:rsid w:val="000508DC"/>
    <w:rsid w:val="0005324A"/>
    <w:rsid w:val="00057EBD"/>
    <w:rsid w:val="000605B8"/>
    <w:rsid w:val="00067689"/>
    <w:rsid w:val="0007162B"/>
    <w:rsid w:val="00072835"/>
    <w:rsid w:val="000747E2"/>
    <w:rsid w:val="0007604A"/>
    <w:rsid w:val="00077266"/>
    <w:rsid w:val="000815F4"/>
    <w:rsid w:val="00084277"/>
    <w:rsid w:val="00086CB9"/>
    <w:rsid w:val="00096664"/>
    <w:rsid w:val="000A24E8"/>
    <w:rsid w:val="000A26B0"/>
    <w:rsid w:val="000A79EB"/>
    <w:rsid w:val="000B026C"/>
    <w:rsid w:val="000B6C5B"/>
    <w:rsid w:val="000C1308"/>
    <w:rsid w:val="000C3B1B"/>
    <w:rsid w:val="000D3A79"/>
    <w:rsid w:val="000E20F5"/>
    <w:rsid w:val="000E4EA6"/>
    <w:rsid w:val="000F3C5F"/>
    <w:rsid w:val="000F3EEF"/>
    <w:rsid w:val="00116188"/>
    <w:rsid w:val="001227AF"/>
    <w:rsid w:val="00130A41"/>
    <w:rsid w:val="00152134"/>
    <w:rsid w:val="00152FD1"/>
    <w:rsid w:val="001532AA"/>
    <w:rsid w:val="00153664"/>
    <w:rsid w:val="00153D8D"/>
    <w:rsid w:val="00177219"/>
    <w:rsid w:val="00180EDE"/>
    <w:rsid w:val="001A5F16"/>
    <w:rsid w:val="001B3A05"/>
    <w:rsid w:val="001C130F"/>
    <w:rsid w:val="001D5556"/>
    <w:rsid w:val="001E0A14"/>
    <w:rsid w:val="001F277A"/>
    <w:rsid w:val="00204852"/>
    <w:rsid w:val="00204F11"/>
    <w:rsid w:val="0020757A"/>
    <w:rsid w:val="00215A8D"/>
    <w:rsid w:val="002230E8"/>
    <w:rsid w:val="00245382"/>
    <w:rsid w:val="002623C4"/>
    <w:rsid w:val="00264A0F"/>
    <w:rsid w:val="00267BA9"/>
    <w:rsid w:val="0027119B"/>
    <w:rsid w:val="0028547A"/>
    <w:rsid w:val="002907BB"/>
    <w:rsid w:val="00291361"/>
    <w:rsid w:val="002A26BD"/>
    <w:rsid w:val="002A58B2"/>
    <w:rsid w:val="002B0C04"/>
    <w:rsid w:val="002B663D"/>
    <w:rsid w:val="002C5890"/>
    <w:rsid w:val="002C6D9D"/>
    <w:rsid w:val="002D0D2A"/>
    <w:rsid w:val="002E132D"/>
    <w:rsid w:val="002E20A1"/>
    <w:rsid w:val="002E456F"/>
    <w:rsid w:val="002E4614"/>
    <w:rsid w:val="002E4976"/>
    <w:rsid w:val="00302408"/>
    <w:rsid w:val="00310EB7"/>
    <w:rsid w:val="0031257A"/>
    <w:rsid w:val="00330BDA"/>
    <w:rsid w:val="00331211"/>
    <w:rsid w:val="00333A74"/>
    <w:rsid w:val="00334321"/>
    <w:rsid w:val="00340768"/>
    <w:rsid w:val="003452DE"/>
    <w:rsid w:val="00354F8B"/>
    <w:rsid w:val="00372F18"/>
    <w:rsid w:val="003A786A"/>
    <w:rsid w:val="003E7449"/>
    <w:rsid w:val="00405A2A"/>
    <w:rsid w:val="004318D4"/>
    <w:rsid w:val="00440BC4"/>
    <w:rsid w:val="00442D26"/>
    <w:rsid w:val="004B6920"/>
    <w:rsid w:val="004C3498"/>
    <w:rsid w:val="004C3AF7"/>
    <w:rsid w:val="004E3B80"/>
    <w:rsid w:val="004E7308"/>
    <w:rsid w:val="005022CC"/>
    <w:rsid w:val="00503862"/>
    <w:rsid w:val="00507960"/>
    <w:rsid w:val="00521CE2"/>
    <w:rsid w:val="005420D5"/>
    <w:rsid w:val="005501BA"/>
    <w:rsid w:val="00563468"/>
    <w:rsid w:val="005634CC"/>
    <w:rsid w:val="005709DC"/>
    <w:rsid w:val="005805F1"/>
    <w:rsid w:val="005958E3"/>
    <w:rsid w:val="00595BFB"/>
    <w:rsid w:val="00597384"/>
    <w:rsid w:val="005C5A56"/>
    <w:rsid w:val="005C76CD"/>
    <w:rsid w:val="005E160E"/>
    <w:rsid w:val="005E2AAD"/>
    <w:rsid w:val="005E3B72"/>
    <w:rsid w:val="005F1E9B"/>
    <w:rsid w:val="005F41B5"/>
    <w:rsid w:val="005F6634"/>
    <w:rsid w:val="005F7BB7"/>
    <w:rsid w:val="00600531"/>
    <w:rsid w:val="00601504"/>
    <w:rsid w:val="0060541E"/>
    <w:rsid w:val="00607743"/>
    <w:rsid w:val="00613F94"/>
    <w:rsid w:val="006369EF"/>
    <w:rsid w:val="00676477"/>
    <w:rsid w:val="0068197C"/>
    <w:rsid w:val="006A5ADC"/>
    <w:rsid w:val="006A6BBD"/>
    <w:rsid w:val="006A7591"/>
    <w:rsid w:val="006B062E"/>
    <w:rsid w:val="006C017D"/>
    <w:rsid w:val="006C657C"/>
    <w:rsid w:val="006D0DF2"/>
    <w:rsid w:val="006D2BA0"/>
    <w:rsid w:val="006D66FF"/>
    <w:rsid w:val="006E1BEF"/>
    <w:rsid w:val="006E2CFE"/>
    <w:rsid w:val="006F2707"/>
    <w:rsid w:val="00700F3E"/>
    <w:rsid w:val="00723CA4"/>
    <w:rsid w:val="007247DC"/>
    <w:rsid w:val="00740389"/>
    <w:rsid w:val="007425A9"/>
    <w:rsid w:val="00757C83"/>
    <w:rsid w:val="0076167B"/>
    <w:rsid w:val="00774539"/>
    <w:rsid w:val="00777F5D"/>
    <w:rsid w:val="007815D4"/>
    <w:rsid w:val="00790404"/>
    <w:rsid w:val="00793277"/>
    <w:rsid w:val="007A443F"/>
    <w:rsid w:val="007A469C"/>
    <w:rsid w:val="007A5B8C"/>
    <w:rsid w:val="007B0562"/>
    <w:rsid w:val="007B1787"/>
    <w:rsid w:val="007B1E9C"/>
    <w:rsid w:val="007B649E"/>
    <w:rsid w:val="007C14DF"/>
    <w:rsid w:val="007C1E2D"/>
    <w:rsid w:val="007D5DFD"/>
    <w:rsid w:val="007D66B4"/>
    <w:rsid w:val="007F3A95"/>
    <w:rsid w:val="00812951"/>
    <w:rsid w:val="008254A4"/>
    <w:rsid w:val="00832FA7"/>
    <w:rsid w:val="008407FD"/>
    <w:rsid w:val="00845DC5"/>
    <w:rsid w:val="0084695A"/>
    <w:rsid w:val="00855DCF"/>
    <w:rsid w:val="00862C03"/>
    <w:rsid w:val="00891F28"/>
    <w:rsid w:val="008B59DC"/>
    <w:rsid w:val="008C3161"/>
    <w:rsid w:val="008C623F"/>
    <w:rsid w:val="008D0D57"/>
    <w:rsid w:val="008E3610"/>
    <w:rsid w:val="00910D10"/>
    <w:rsid w:val="00917F24"/>
    <w:rsid w:val="009303A4"/>
    <w:rsid w:val="00933536"/>
    <w:rsid w:val="0093391F"/>
    <w:rsid w:val="009403AF"/>
    <w:rsid w:val="00952936"/>
    <w:rsid w:val="0095672E"/>
    <w:rsid w:val="00990B97"/>
    <w:rsid w:val="009936BF"/>
    <w:rsid w:val="009A777E"/>
    <w:rsid w:val="009A7AD0"/>
    <w:rsid w:val="009B6DF4"/>
    <w:rsid w:val="009C4942"/>
    <w:rsid w:val="009D023E"/>
    <w:rsid w:val="009D145E"/>
    <w:rsid w:val="009D7557"/>
    <w:rsid w:val="009E0637"/>
    <w:rsid w:val="009F0C22"/>
    <w:rsid w:val="009F5548"/>
    <w:rsid w:val="009F7F45"/>
    <w:rsid w:val="00A00654"/>
    <w:rsid w:val="00A01E23"/>
    <w:rsid w:val="00A13FFC"/>
    <w:rsid w:val="00A233A0"/>
    <w:rsid w:val="00A453C6"/>
    <w:rsid w:val="00A6173C"/>
    <w:rsid w:val="00A73479"/>
    <w:rsid w:val="00A75A10"/>
    <w:rsid w:val="00A85E36"/>
    <w:rsid w:val="00A86639"/>
    <w:rsid w:val="00AA7C5F"/>
    <w:rsid w:val="00AB2349"/>
    <w:rsid w:val="00AB67C7"/>
    <w:rsid w:val="00AC0207"/>
    <w:rsid w:val="00AD2ED0"/>
    <w:rsid w:val="00AF60E8"/>
    <w:rsid w:val="00B0382C"/>
    <w:rsid w:val="00B1355C"/>
    <w:rsid w:val="00B1589D"/>
    <w:rsid w:val="00B22F79"/>
    <w:rsid w:val="00B26C01"/>
    <w:rsid w:val="00B31F5E"/>
    <w:rsid w:val="00B36485"/>
    <w:rsid w:val="00B36E2C"/>
    <w:rsid w:val="00B463C7"/>
    <w:rsid w:val="00B53955"/>
    <w:rsid w:val="00B610B8"/>
    <w:rsid w:val="00B83FE3"/>
    <w:rsid w:val="00B95AC4"/>
    <w:rsid w:val="00BB3118"/>
    <w:rsid w:val="00BC0E1F"/>
    <w:rsid w:val="00BD0866"/>
    <w:rsid w:val="00BE513F"/>
    <w:rsid w:val="00BF42D5"/>
    <w:rsid w:val="00C01FA5"/>
    <w:rsid w:val="00C0504D"/>
    <w:rsid w:val="00C06A3C"/>
    <w:rsid w:val="00C1083C"/>
    <w:rsid w:val="00C31655"/>
    <w:rsid w:val="00C34D0B"/>
    <w:rsid w:val="00C57E95"/>
    <w:rsid w:val="00C77975"/>
    <w:rsid w:val="00C85300"/>
    <w:rsid w:val="00CA667A"/>
    <w:rsid w:val="00CB093D"/>
    <w:rsid w:val="00CB12C6"/>
    <w:rsid w:val="00CD23CB"/>
    <w:rsid w:val="00CD4DC5"/>
    <w:rsid w:val="00D06C3E"/>
    <w:rsid w:val="00D1703E"/>
    <w:rsid w:val="00D2320A"/>
    <w:rsid w:val="00D431AB"/>
    <w:rsid w:val="00D46E53"/>
    <w:rsid w:val="00D62C1B"/>
    <w:rsid w:val="00D65400"/>
    <w:rsid w:val="00D75901"/>
    <w:rsid w:val="00D77EAD"/>
    <w:rsid w:val="00D96360"/>
    <w:rsid w:val="00D97A9A"/>
    <w:rsid w:val="00DC0F91"/>
    <w:rsid w:val="00DE1B8E"/>
    <w:rsid w:val="00DE55A3"/>
    <w:rsid w:val="00E06FEE"/>
    <w:rsid w:val="00E14B21"/>
    <w:rsid w:val="00E21D7C"/>
    <w:rsid w:val="00E22135"/>
    <w:rsid w:val="00E228CE"/>
    <w:rsid w:val="00E320D7"/>
    <w:rsid w:val="00E52C93"/>
    <w:rsid w:val="00E563C7"/>
    <w:rsid w:val="00E6271C"/>
    <w:rsid w:val="00E925F6"/>
    <w:rsid w:val="00E94618"/>
    <w:rsid w:val="00EA21D3"/>
    <w:rsid w:val="00EB28AD"/>
    <w:rsid w:val="00EC370D"/>
    <w:rsid w:val="00EC49F0"/>
    <w:rsid w:val="00EE35ED"/>
    <w:rsid w:val="00F1548F"/>
    <w:rsid w:val="00F23685"/>
    <w:rsid w:val="00F51E39"/>
    <w:rsid w:val="00F57309"/>
    <w:rsid w:val="00F6086A"/>
    <w:rsid w:val="00F71250"/>
    <w:rsid w:val="00F76BA0"/>
    <w:rsid w:val="00F91367"/>
    <w:rsid w:val="00F950C8"/>
    <w:rsid w:val="00FB674F"/>
    <w:rsid w:val="00FC2317"/>
    <w:rsid w:val="00FD007E"/>
    <w:rsid w:val="00FD4004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6B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0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C1B"/>
    <w:rPr>
      <w:color w:val="0563C1" w:themeColor="hyperlink"/>
      <w:u w:val="single"/>
    </w:rPr>
  </w:style>
  <w:style w:type="character" w:customStyle="1" w:styleId="size">
    <w:name w:val="size"/>
    <w:basedOn w:val="DefaultParagraphFont"/>
    <w:rsid w:val="00B53955"/>
  </w:style>
  <w:style w:type="character" w:customStyle="1" w:styleId="font">
    <w:name w:val="font"/>
    <w:basedOn w:val="DefaultParagraphFont"/>
    <w:rsid w:val="00B53955"/>
  </w:style>
  <w:style w:type="paragraph" w:styleId="NormalWeb">
    <w:name w:val="Normal (Web)"/>
    <w:basedOn w:val="Normal"/>
    <w:uiPriority w:val="99"/>
    <w:semiHidden/>
    <w:unhideWhenUsed/>
    <w:rsid w:val="00B53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657C"/>
  </w:style>
  <w:style w:type="character" w:customStyle="1" w:styleId="s2">
    <w:name w:val="s2"/>
    <w:basedOn w:val="DefaultParagraphFont"/>
    <w:rsid w:val="006A7591"/>
  </w:style>
  <w:style w:type="character" w:styleId="FollowedHyperlink">
    <w:name w:val="FollowedHyperlink"/>
    <w:basedOn w:val="DefaultParagraphFont"/>
    <w:uiPriority w:val="99"/>
    <w:semiHidden/>
    <w:unhideWhenUsed/>
    <w:rsid w:val="00086C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3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3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05B8"/>
    <w:rPr>
      <w:sz w:val="40"/>
      <w:szCs w:val="40"/>
    </w:rPr>
  </w:style>
  <w:style w:type="character" w:customStyle="1" w:styleId="colour">
    <w:name w:val="colour"/>
    <w:basedOn w:val="DefaultParagraphFont"/>
    <w:rsid w:val="000605B8"/>
  </w:style>
  <w:style w:type="paragraph" w:styleId="Header">
    <w:name w:val="header"/>
    <w:basedOn w:val="Normal"/>
    <w:link w:val="HeaderChar"/>
    <w:uiPriority w:val="99"/>
    <w:unhideWhenUsed/>
    <w:rsid w:val="00333A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74"/>
  </w:style>
  <w:style w:type="paragraph" w:styleId="Footer">
    <w:name w:val="footer"/>
    <w:basedOn w:val="Normal"/>
    <w:link w:val="FooterChar"/>
    <w:uiPriority w:val="99"/>
    <w:unhideWhenUsed/>
    <w:rsid w:val="00333A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74"/>
  </w:style>
  <w:style w:type="character" w:styleId="UnresolvedMention">
    <w:name w:val="Unresolved Mention"/>
    <w:basedOn w:val="DefaultParagraphFont"/>
    <w:uiPriority w:val="99"/>
    <w:rsid w:val="001A5F16"/>
    <w:rPr>
      <w:color w:val="808080"/>
      <w:shd w:val="clear" w:color="auto" w:fill="E6E6E6"/>
    </w:rPr>
  </w:style>
  <w:style w:type="paragraph" w:customStyle="1" w:styleId="zw-paragraph">
    <w:name w:val="zw-paragraph"/>
    <w:basedOn w:val="Normal"/>
    <w:rsid w:val="005E3B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eop">
    <w:name w:val="eop"/>
    <w:basedOn w:val="DefaultParagraphFont"/>
    <w:rsid w:val="005E3B72"/>
  </w:style>
  <w:style w:type="paragraph" w:customStyle="1" w:styleId="x-190565346x-1126155561msonormal">
    <w:name w:val="x_-190565346x_-1126155561msonormal"/>
    <w:basedOn w:val="Normal"/>
    <w:rsid w:val="00204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x-190565346size">
    <w:name w:val="x_-190565346size"/>
    <w:basedOn w:val="DefaultParagraphFont"/>
    <w:rsid w:val="00204F11"/>
  </w:style>
  <w:style w:type="character" w:customStyle="1" w:styleId="x-190565346x-1126155561apple-converted-space">
    <w:name w:val="x_-190565346x_-1126155561apple-converted-space"/>
    <w:basedOn w:val="DefaultParagraphFont"/>
    <w:rsid w:val="00204F11"/>
  </w:style>
  <w:style w:type="paragraph" w:customStyle="1" w:styleId="x-190565346x-1126155561msolistparagraph">
    <w:name w:val="x_-190565346x_-1126155561msolistparagraph"/>
    <w:basedOn w:val="Normal"/>
    <w:rsid w:val="00204F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3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727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5511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skwiseproperty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skwiseproperty.com.a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iskwiseproperty.com.au/" TargetMode="External"/><Relationship Id="rId10" Type="http://schemas.openxmlformats.org/officeDocument/2006/relationships/hyperlink" Target="http://www.riskwiseproperty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nessa.Jones@riskwisepropert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668635599704993048A6283D30A02" ma:contentTypeVersion="10" ma:contentTypeDescription="Create a new document." ma:contentTypeScope="" ma:versionID="5f1561b663784635f898c0c9fb1fccd4">
  <xsd:schema xmlns:xsd="http://www.w3.org/2001/XMLSchema" xmlns:xs="http://www.w3.org/2001/XMLSchema" xmlns:p="http://schemas.microsoft.com/office/2006/metadata/properties" xmlns:ns2="b5862b7f-6c07-4e19-8b33-5692515313a4" xmlns:ns3="268b48d8-4b21-4c56-a9be-00417fd05bab" targetNamespace="http://schemas.microsoft.com/office/2006/metadata/properties" ma:root="true" ma:fieldsID="c9b28b7502f4ff09568405b2c687dc88" ns2:_="" ns3:_="">
    <xsd:import namespace="b5862b7f-6c07-4e19-8b33-5692515313a4"/>
    <xsd:import namespace="268b48d8-4b21-4c56-a9be-00417fd05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62b7f-6c07-4e19-8b33-56925153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48d8-4b21-4c56-a9be-00417fd05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AC221-DE32-4200-81D6-37CBFDFF1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74142-EE75-4C48-84F1-ED4D371B6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62b7f-6c07-4e19-8b33-5692515313a4"/>
    <ds:schemaRef ds:uri="268b48d8-4b21-4c56-a9be-00417fd0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6A8E3-6DF9-44A0-887D-B4D01B3D5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Hatch</dc:creator>
  <cp:lastModifiedBy>Vanessa Jones</cp:lastModifiedBy>
  <cp:revision>4</cp:revision>
  <dcterms:created xsi:type="dcterms:W3CDTF">2019-05-09T02:59:00Z</dcterms:created>
  <dcterms:modified xsi:type="dcterms:W3CDTF">2019-05-16T01:50:00Z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0x0101002B7668635599704993048A6283D30A02</vt:lpwstr>
  </property>
</Properties>
</file>