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395"/>
        <w:gridCol w:w="3119"/>
      </w:tblGrid>
      <w:tr w:rsidR="00F23FFF" w:rsidRPr="00900894" w14:paraId="32E7F8A0" w14:textId="77777777" w:rsidTr="004C2B3F">
        <w:tc>
          <w:tcPr>
            <w:tcW w:w="2977" w:type="dxa"/>
          </w:tcPr>
          <w:p w14:paraId="4C153EA6" w14:textId="203A8D54" w:rsidR="00F23FFF" w:rsidRPr="00900894" w:rsidRDefault="002F102F" w:rsidP="004C2B3F">
            <w:pPr>
              <w:pStyle w:val="NoSpacing"/>
              <w:ind w:left="34" w:right="283"/>
              <w:rPr>
                <w:rFonts w:cstheme="minorHAnsi"/>
                <w:b/>
                <w:lang w:eastAsia="en-AU"/>
              </w:rPr>
            </w:pPr>
            <w:bookmarkStart w:id="0" w:name="_GoBack"/>
            <w:bookmarkEnd w:id="0"/>
            <w:r>
              <w:rPr>
                <w:rFonts w:cstheme="minorHAnsi"/>
                <w:b/>
                <w:lang w:eastAsia="en-AU"/>
              </w:rPr>
              <w:t xml:space="preserve"> </w:t>
            </w:r>
            <w:r w:rsidR="00895ABD">
              <w:rPr>
                <w:rFonts w:cstheme="minorHAnsi"/>
                <w:b/>
                <w:lang w:eastAsia="en-AU"/>
              </w:rPr>
              <w:t>MEDIA</w:t>
            </w:r>
            <w:r w:rsidR="00F23FFF" w:rsidRPr="00900894">
              <w:rPr>
                <w:rFonts w:cstheme="minorHAnsi"/>
                <w:b/>
                <w:lang w:eastAsia="en-AU"/>
              </w:rPr>
              <w:t xml:space="preserve"> RELEASE                                                  </w:t>
            </w:r>
          </w:p>
        </w:tc>
        <w:tc>
          <w:tcPr>
            <w:tcW w:w="4395" w:type="dxa"/>
          </w:tcPr>
          <w:p w14:paraId="66113820" w14:textId="24AAA62D" w:rsidR="00F23FFF" w:rsidRPr="00900894" w:rsidRDefault="00B603BD" w:rsidP="00950388">
            <w:pPr>
              <w:pStyle w:val="NoSpacing"/>
              <w:ind w:left="318" w:right="283"/>
              <w:jc w:val="center"/>
              <w:rPr>
                <w:rFonts w:cstheme="minorHAnsi"/>
                <w:b/>
                <w:lang w:eastAsia="en-AU"/>
              </w:rPr>
            </w:pPr>
            <w:r w:rsidRPr="00900894">
              <w:rPr>
                <w:rFonts w:cstheme="minorHAnsi"/>
                <w:b/>
                <w:lang w:eastAsia="en-AU"/>
              </w:rPr>
              <w:t xml:space="preserve">  </w:t>
            </w:r>
            <w:r w:rsidR="0058094C">
              <w:rPr>
                <w:rFonts w:cstheme="minorHAnsi"/>
                <w:b/>
                <w:lang w:eastAsia="en-AU"/>
              </w:rPr>
              <w:t>24</w:t>
            </w:r>
            <w:r w:rsidR="00950388">
              <w:rPr>
                <w:rFonts w:cstheme="minorHAnsi"/>
                <w:b/>
                <w:lang w:eastAsia="en-AU"/>
              </w:rPr>
              <w:t xml:space="preserve"> MAY</w:t>
            </w:r>
            <w:r w:rsidR="00894EFD">
              <w:rPr>
                <w:rFonts w:cstheme="minorHAnsi"/>
                <w:b/>
                <w:lang w:eastAsia="en-AU"/>
              </w:rPr>
              <w:t xml:space="preserve"> </w:t>
            </w:r>
            <w:r w:rsidR="00F23FFF" w:rsidRPr="00900894">
              <w:rPr>
                <w:rFonts w:cstheme="minorHAnsi"/>
                <w:b/>
                <w:lang w:eastAsia="en-AU"/>
              </w:rPr>
              <w:t>2019</w:t>
            </w:r>
          </w:p>
        </w:tc>
        <w:tc>
          <w:tcPr>
            <w:tcW w:w="3119" w:type="dxa"/>
          </w:tcPr>
          <w:p w14:paraId="3DA30AF4" w14:textId="77777777" w:rsidR="00F23FFF" w:rsidRPr="00900894" w:rsidRDefault="00F23FFF" w:rsidP="00BC7AEA">
            <w:pPr>
              <w:pStyle w:val="NoSpacing"/>
              <w:ind w:left="283" w:right="35"/>
              <w:jc w:val="right"/>
              <w:rPr>
                <w:rFonts w:cstheme="minorHAnsi"/>
                <w:b/>
                <w:lang w:eastAsia="en-AU"/>
              </w:rPr>
            </w:pPr>
            <w:r w:rsidRPr="00900894">
              <w:rPr>
                <w:rFonts w:cstheme="minorHAnsi"/>
                <w:b/>
                <w:lang w:eastAsia="en-AU"/>
              </w:rPr>
              <w:t>FOR IMMEDIATE RELEASE</w:t>
            </w:r>
          </w:p>
        </w:tc>
      </w:tr>
    </w:tbl>
    <w:p w14:paraId="007AB8E2" w14:textId="77777777" w:rsidR="00FB047E" w:rsidRPr="00DA1A80" w:rsidRDefault="00FB047E" w:rsidP="00FB047E">
      <w:pPr>
        <w:pStyle w:val="NoSpacing"/>
        <w:rPr>
          <w:rFonts w:cstheme="minorHAnsi"/>
          <w:sz w:val="12"/>
          <w:szCs w:val="12"/>
          <w:lang w:eastAsia="en-AU"/>
        </w:rPr>
      </w:pPr>
    </w:p>
    <w:p w14:paraId="25083692" w14:textId="77777777" w:rsidR="00950388" w:rsidRPr="007D7F71" w:rsidRDefault="00950388" w:rsidP="00950388">
      <w:pPr>
        <w:jc w:val="center"/>
        <w:rPr>
          <w:b/>
          <w:sz w:val="28"/>
        </w:rPr>
      </w:pPr>
      <w:r w:rsidRPr="007D7F71">
        <w:rPr>
          <w:b/>
          <w:sz w:val="28"/>
        </w:rPr>
        <w:t>AUSTRALIA’S TOP ORGANISATIONS FOR LGBTI INCLUSION ANNOUNCED</w:t>
      </w:r>
    </w:p>
    <w:p w14:paraId="47224253" w14:textId="77777777" w:rsidR="00950388" w:rsidRPr="00DA1A80" w:rsidRDefault="00950388" w:rsidP="00950388">
      <w:pPr>
        <w:rPr>
          <w:sz w:val="12"/>
          <w:szCs w:val="12"/>
        </w:rPr>
      </w:pPr>
    </w:p>
    <w:p w14:paraId="23C31C41" w14:textId="77777777" w:rsidR="0058094C" w:rsidRPr="00FB3443" w:rsidRDefault="0058094C" w:rsidP="0058094C">
      <w:pPr>
        <w:pStyle w:val="Default"/>
        <w:rPr>
          <w:color w:val="auto"/>
          <w:sz w:val="20"/>
          <w:szCs w:val="20"/>
        </w:rPr>
      </w:pPr>
      <w:r w:rsidRPr="00FB3443">
        <w:rPr>
          <w:color w:val="auto"/>
          <w:sz w:val="20"/>
          <w:szCs w:val="20"/>
        </w:rPr>
        <w:t>RMIT University has been named the 2019 Employer of the Year for LGBTI inclusion at the Australian LGBTI Inclusion Awards, hosted by ACON’s Pride in Diversity – the national not-for-profit employer support program for LGBTI workplace inclusion in Australia.</w:t>
      </w:r>
    </w:p>
    <w:p w14:paraId="68DF769A" w14:textId="77777777" w:rsidR="0058094C" w:rsidRPr="00FB3443" w:rsidRDefault="0058094C" w:rsidP="0058094C">
      <w:pPr>
        <w:pStyle w:val="Default"/>
        <w:rPr>
          <w:color w:val="auto"/>
          <w:sz w:val="20"/>
          <w:szCs w:val="20"/>
        </w:rPr>
      </w:pPr>
    </w:p>
    <w:p w14:paraId="0F1FA064" w14:textId="0D98FE8B" w:rsidR="0058094C" w:rsidRPr="00FB3443" w:rsidRDefault="0058094C" w:rsidP="0058094C">
      <w:pPr>
        <w:pStyle w:val="Default"/>
        <w:rPr>
          <w:color w:val="auto"/>
          <w:sz w:val="20"/>
          <w:szCs w:val="20"/>
        </w:rPr>
      </w:pPr>
      <w:r w:rsidRPr="00FB3443">
        <w:rPr>
          <w:color w:val="auto"/>
          <w:sz w:val="20"/>
          <w:szCs w:val="20"/>
        </w:rPr>
        <w:t xml:space="preserve">More than 730 business leaders, diversity champions and HR professionals representing all sectors and employer sizes came together at the Hyatt Regency in Sydney to celebrate the results of the Australian </w:t>
      </w:r>
      <w:r w:rsidR="008F0773">
        <w:rPr>
          <w:color w:val="auto"/>
          <w:sz w:val="20"/>
          <w:szCs w:val="20"/>
        </w:rPr>
        <w:t>Workplace Equality Index (AWEI) –</w:t>
      </w:r>
      <w:r w:rsidRPr="00FB3443">
        <w:rPr>
          <w:color w:val="auto"/>
          <w:sz w:val="20"/>
          <w:szCs w:val="20"/>
        </w:rPr>
        <w:t xml:space="preserve"> a rigorous, evidence-based benchmarking tool that annually assesses workplaces in the progress and impact of their LGBTI inclusion initiatives.</w:t>
      </w:r>
    </w:p>
    <w:p w14:paraId="5FD5E45C" w14:textId="77777777" w:rsidR="0058094C" w:rsidRPr="00FB3443" w:rsidRDefault="0058094C" w:rsidP="0058094C">
      <w:pPr>
        <w:pStyle w:val="Default"/>
        <w:rPr>
          <w:color w:val="auto"/>
          <w:sz w:val="20"/>
          <w:szCs w:val="20"/>
        </w:rPr>
      </w:pPr>
    </w:p>
    <w:p w14:paraId="4B58C756" w14:textId="77777777" w:rsidR="0058094C" w:rsidRPr="00FB3443" w:rsidRDefault="0058094C" w:rsidP="0058094C">
      <w:pPr>
        <w:pStyle w:val="Default"/>
        <w:rPr>
          <w:color w:val="auto"/>
          <w:sz w:val="20"/>
          <w:szCs w:val="20"/>
        </w:rPr>
      </w:pPr>
      <w:r w:rsidRPr="00FB3443">
        <w:rPr>
          <w:color w:val="auto"/>
          <w:sz w:val="20"/>
          <w:szCs w:val="20"/>
        </w:rPr>
        <w:t xml:space="preserve">This year reflects the greatest diversity of top employers achieving Platinum and Gold Employer Status in the history of the AWEI. It is also the first time that a non-private commercial organisation has been awarded Employer of the Year status. </w:t>
      </w:r>
    </w:p>
    <w:p w14:paraId="2BA68546" w14:textId="77777777" w:rsidR="0058094C" w:rsidRPr="00FB3443" w:rsidRDefault="0058094C" w:rsidP="0058094C">
      <w:pPr>
        <w:pStyle w:val="Default"/>
        <w:rPr>
          <w:color w:val="auto"/>
          <w:sz w:val="20"/>
          <w:szCs w:val="20"/>
        </w:rPr>
      </w:pPr>
    </w:p>
    <w:p w14:paraId="27E41220" w14:textId="2658EEFF" w:rsidR="0058094C" w:rsidRPr="00FB3443" w:rsidRDefault="0058094C" w:rsidP="0058094C">
      <w:pPr>
        <w:pStyle w:val="Default"/>
        <w:rPr>
          <w:color w:val="auto"/>
          <w:sz w:val="20"/>
          <w:szCs w:val="20"/>
        </w:rPr>
      </w:pPr>
      <w:r w:rsidRPr="00FB3443">
        <w:rPr>
          <w:color w:val="auto"/>
          <w:sz w:val="20"/>
          <w:szCs w:val="20"/>
        </w:rPr>
        <w:t>This year top employers spanned public, private, higher educa</w:t>
      </w:r>
      <w:r w:rsidR="00DA1A80">
        <w:rPr>
          <w:color w:val="auto"/>
          <w:sz w:val="20"/>
          <w:szCs w:val="20"/>
        </w:rPr>
        <w:t>tion and not-for-profit sectors:</w:t>
      </w:r>
    </w:p>
    <w:p w14:paraId="2E539ED4" w14:textId="77777777" w:rsidR="0058094C" w:rsidRPr="00FB3443" w:rsidRDefault="0058094C" w:rsidP="0058094C">
      <w:pPr>
        <w:pStyle w:val="Default"/>
        <w:rPr>
          <w:color w:val="auto"/>
          <w:sz w:val="20"/>
          <w:szCs w:val="20"/>
        </w:rPr>
      </w:pPr>
    </w:p>
    <w:p w14:paraId="73980DF8" w14:textId="71F27AAB" w:rsidR="0058094C" w:rsidRPr="00FB3443" w:rsidRDefault="0058094C" w:rsidP="0058094C">
      <w:pPr>
        <w:pStyle w:val="Default"/>
        <w:numPr>
          <w:ilvl w:val="0"/>
          <w:numId w:val="3"/>
        </w:numPr>
        <w:rPr>
          <w:color w:val="auto"/>
          <w:sz w:val="20"/>
          <w:szCs w:val="20"/>
        </w:rPr>
      </w:pPr>
      <w:r w:rsidRPr="00FB3443">
        <w:rPr>
          <w:color w:val="auto"/>
          <w:sz w:val="20"/>
          <w:szCs w:val="20"/>
        </w:rPr>
        <w:t xml:space="preserve">Four employers have been awarded Platinum Status for longevity in high performance (Accenture, LendLease, ANZ, UWA). </w:t>
      </w:r>
    </w:p>
    <w:p w14:paraId="2B5CD3B6" w14:textId="0841DC57" w:rsidR="0058094C" w:rsidRPr="00FB3443" w:rsidRDefault="0058094C" w:rsidP="0058094C">
      <w:pPr>
        <w:pStyle w:val="Default"/>
        <w:numPr>
          <w:ilvl w:val="0"/>
          <w:numId w:val="3"/>
        </w:numPr>
        <w:rPr>
          <w:color w:val="auto"/>
          <w:sz w:val="20"/>
          <w:szCs w:val="20"/>
        </w:rPr>
      </w:pPr>
      <w:r w:rsidRPr="00FB3443">
        <w:rPr>
          <w:color w:val="auto"/>
          <w:sz w:val="20"/>
          <w:szCs w:val="20"/>
        </w:rPr>
        <w:t>Two employers have qualified for Platinum Status next year (EY, Macquarie Group).</w:t>
      </w:r>
    </w:p>
    <w:p w14:paraId="2332C742" w14:textId="61AEB36B" w:rsidR="0058094C" w:rsidRPr="00FB3443" w:rsidRDefault="0058094C" w:rsidP="0058094C">
      <w:pPr>
        <w:pStyle w:val="Default"/>
        <w:numPr>
          <w:ilvl w:val="0"/>
          <w:numId w:val="3"/>
        </w:numPr>
        <w:rPr>
          <w:color w:val="auto"/>
          <w:sz w:val="20"/>
          <w:szCs w:val="20"/>
        </w:rPr>
      </w:pPr>
      <w:r w:rsidRPr="00FB3443">
        <w:rPr>
          <w:color w:val="auto"/>
          <w:sz w:val="20"/>
          <w:szCs w:val="20"/>
        </w:rPr>
        <w:t xml:space="preserve">14 employers have been awarded Gold Status for highest results within the current year.  </w:t>
      </w:r>
    </w:p>
    <w:p w14:paraId="6E12F628" w14:textId="06260A75" w:rsidR="0058094C" w:rsidRPr="00FB3443" w:rsidRDefault="0058094C" w:rsidP="0058094C">
      <w:pPr>
        <w:pStyle w:val="Default"/>
        <w:numPr>
          <w:ilvl w:val="0"/>
          <w:numId w:val="3"/>
        </w:numPr>
        <w:rPr>
          <w:color w:val="auto"/>
          <w:sz w:val="20"/>
          <w:szCs w:val="20"/>
        </w:rPr>
      </w:pPr>
      <w:r w:rsidRPr="00FB3443">
        <w:rPr>
          <w:color w:val="auto"/>
          <w:sz w:val="20"/>
          <w:szCs w:val="20"/>
        </w:rPr>
        <w:t>The Small Employer component of the index also saw an increase in participation and scores with Initiative Media taking out the Small Employer of the Year.</w:t>
      </w:r>
    </w:p>
    <w:p w14:paraId="7C6BE445" w14:textId="77777777" w:rsidR="0058094C" w:rsidRPr="00FB3443" w:rsidRDefault="0058094C" w:rsidP="0058094C">
      <w:pPr>
        <w:pStyle w:val="Default"/>
        <w:rPr>
          <w:color w:val="auto"/>
          <w:sz w:val="20"/>
          <w:szCs w:val="20"/>
        </w:rPr>
      </w:pPr>
    </w:p>
    <w:p w14:paraId="687A4BCC" w14:textId="77777777" w:rsidR="0058094C" w:rsidRPr="00FB3443" w:rsidRDefault="0058094C" w:rsidP="0058094C">
      <w:pPr>
        <w:pStyle w:val="Default"/>
        <w:rPr>
          <w:b/>
          <w:color w:val="auto"/>
          <w:sz w:val="20"/>
          <w:szCs w:val="20"/>
        </w:rPr>
      </w:pPr>
      <w:r w:rsidRPr="00FB3443">
        <w:rPr>
          <w:b/>
          <w:color w:val="auto"/>
          <w:sz w:val="20"/>
          <w:szCs w:val="20"/>
        </w:rPr>
        <w:t>Note: The complete list of awardees are featured on the next page.</w:t>
      </w:r>
    </w:p>
    <w:p w14:paraId="52212CFE" w14:textId="77777777" w:rsidR="0058094C" w:rsidRPr="00FB3443" w:rsidRDefault="0058094C" w:rsidP="0058094C">
      <w:pPr>
        <w:pStyle w:val="Default"/>
        <w:rPr>
          <w:b/>
          <w:color w:val="auto"/>
          <w:sz w:val="20"/>
          <w:szCs w:val="20"/>
        </w:rPr>
      </w:pPr>
    </w:p>
    <w:p w14:paraId="36BAC746" w14:textId="77777777" w:rsidR="0058094C" w:rsidRPr="00FB3443" w:rsidRDefault="0058094C" w:rsidP="0058094C">
      <w:pPr>
        <w:pStyle w:val="Default"/>
        <w:rPr>
          <w:color w:val="auto"/>
          <w:sz w:val="20"/>
          <w:szCs w:val="20"/>
        </w:rPr>
      </w:pPr>
      <w:r w:rsidRPr="00FB3443">
        <w:rPr>
          <w:color w:val="auto"/>
          <w:sz w:val="20"/>
          <w:szCs w:val="20"/>
        </w:rPr>
        <w:t>The year’s awards were attended by a record number of CEOs and business leaders with Qantas CEO and Patron, Alan Joyce, providing this year’s keynote address.</w:t>
      </w:r>
    </w:p>
    <w:p w14:paraId="5DC7E4EA" w14:textId="77777777" w:rsidR="0058094C" w:rsidRPr="00FB3443" w:rsidRDefault="0058094C" w:rsidP="0058094C">
      <w:pPr>
        <w:pStyle w:val="Default"/>
        <w:rPr>
          <w:color w:val="auto"/>
          <w:sz w:val="20"/>
          <w:szCs w:val="20"/>
        </w:rPr>
      </w:pPr>
    </w:p>
    <w:p w14:paraId="668BCB40" w14:textId="77777777" w:rsidR="008F0773" w:rsidRDefault="0058094C" w:rsidP="0058094C">
      <w:pPr>
        <w:pStyle w:val="Default"/>
        <w:rPr>
          <w:color w:val="auto"/>
          <w:sz w:val="20"/>
          <w:szCs w:val="20"/>
        </w:rPr>
      </w:pPr>
      <w:r w:rsidRPr="00FB3443">
        <w:rPr>
          <w:color w:val="auto"/>
          <w:sz w:val="20"/>
          <w:szCs w:val="20"/>
        </w:rPr>
        <w:t>Dawn Hough, Director of ACON’s Pride Inclusion Programs, said there has been continued growth in participation in the index since its</w:t>
      </w:r>
      <w:r w:rsidR="008F0773">
        <w:rPr>
          <w:color w:val="auto"/>
          <w:sz w:val="20"/>
          <w:szCs w:val="20"/>
        </w:rPr>
        <w:t xml:space="preserve"> launch in 2010.</w:t>
      </w:r>
      <w:r w:rsidR="00DA1A80">
        <w:rPr>
          <w:color w:val="auto"/>
          <w:sz w:val="20"/>
          <w:szCs w:val="20"/>
        </w:rPr>
        <w:t xml:space="preserve"> </w:t>
      </w:r>
    </w:p>
    <w:p w14:paraId="782DEB07" w14:textId="77777777" w:rsidR="008F0773" w:rsidRDefault="008F0773" w:rsidP="0058094C">
      <w:pPr>
        <w:pStyle w:val="Default"/>
        <w:rPr>
          <w:color w:val="auto"/>
          <w:sz w:val="20"/>
          <w:szCs w:val="20"/>
        </w:rPr>
      </w:pPr>
    </w:p>
    <w:p w14:paraId="3CDF8757" w14:textId="48EE1590" w:rsidR="0058094C" w:rsidRPr="00FB3443" w:rsidRDefault="0058094C" w:rsidP="0058094C">
      <w:pPr>
        <w:pStyle w:val="Default"/>
        <w:rPr>
          <w:color w:val="auto"/>
          <w:sz w:val="20"/>
          <w:szCs w:val="20"/>
        </w:rPr>
      </w:pPr>
      <w:r w:rsidRPr="00FB3443">
        <w:rPr>
          <w:color w:val="auto"/>
          <w:sz w:val="20"/>
          <w:szCs w:val="20"/>
        </w:rPr>
        <w:t>“</w:t>
      </w:r>
      <w:r w:rsidR="0034032E">
        <w:rPr>
          <w:color w:val="auto"/>
          <w:sz w:val="20"/>
          <w:szCs w:val="20"/>
        </w:rPr>
        <w:t>Th</w:t>
      </w:r>
      <w:r w:rsidR="00616863">
        <w:rPr>
          <w:color w:val="auto"/>
          <w:sz w:val="20"/>
          <w:szCs w:val="20"/>
        </w:rPr>
        <w:t>is is the ninth year of the AWE</w:t>
      </w:r>
      <w:r w:rsidR="0034032E">
        <w:rPr>
          <w:color w:val="auto"/>
          <w:sz w:val="20"/>
          <w:szCs w:val="20"/>
        </w:rPr>
        <w:t>I and, o</w:t>
      </w:r>
      <w:r w:rsidRPr="00FB3443">
        <w:rPr>
          <w:color w:val="auto"/>
          <w:sz w:val="20"/>
          <w:szCs w:val="20"/>
        </w:rPr>
        <w:t>nce again</w:t>
      </w:r>
      <w:r w:rsidR="0034032E">
        <w:rPr>
          <w:color w:val="auto"/>
          <w:sz w:val="20"/>
          <w:szCs w:val="20"/>
        </w:rPr>
        <w:t>,</w:t>
      </w:r>
      <w:r w:rsidRPr="00FB3443">
        <w:rPr>
          <w:color w:val="auto"/>
          <w:sz w:val="20"/>
          <w:szCs w:val="20"/>
        </w:rPr>
        <w:t xml:space="preserve"> we have record numbers of employers across all s</w:t>
      </w:r>
      <w:r w:rsidR="0034032E">
        <w:rPr>
          <w:color w:val="auto"/>
          <w:sz w:val="20"/>
          <w:szCs w:val="20"/>
        </w:rPr>
        <w:t xml:space="preserve">ectors and states participating in the index. The accompanying employee survey elicited a staggering 27,349 responses, which underscores the importance of LGBTI inclusion in the workplace,” </w:t>
      </w:r>
      <w:r w:rsidR="008F0773">
        <w:rPr>
          <w:color w:val="auto"/>
          <w:sz w:val="20"/>
          <w:szCs w:val="20"/>
        </w:rPr>
        <w:t>Hough said.</w:t>
      </w:r>
    </w:p>
    <w:p w14:paraId="27FD5EED" w14:textId="77777777" w:rsidR="0058094C" w:rsidRPr="00FB3443" w:rsidRDefault="0058094C" w:rsidP="0058094C">
      <w:pPr>
        <w:pStyle w:val="Default"/>
        <w:rPr>
          <w:color w:val="auto"/>
          <w:sz w:val="20"/>
          <w:szCs w:val="20"/>
        </w:rPr>
      </w:pPr>
    </w:p>
    <w:p w14:paraId="6657D6FD" w14:textId="526D0C05" w:rsidR="0058094C" w:rsidRPr="00FB3443" w:rsidRDefault="0058094C" w:rsidP="0058094C">
      <w:pPr>
        <w:pStyle w:val="Default"/>
        <w:rPr>
          <w:color w:val="auto"/>
          <w:sz w:val="20"/>
          <w:szCs w:val="20"/>
        </w:rPr>
      </w:pPr>
      <w:r w:rsidRPr="00FB3443">
        <w:rPr>
          <w:color w:val="auto"/>
          <w:sz w:val="20"/>
          <w:szCs w:val="20"/>
        </w:rPr>
        <w:t>“Practice is continuing to shift significantly in this space with employers across Australia not only maintaining their commitment to LGBTI inclusion but in fact strengthening their inclusion initiatives and activities. Scores required to obtain the various tiers of recognit</w:t>
      </w:r>
      <w:r w:rsidR="008F0773">
        <w:rPr>
          <w:color w:val="auto"/>
          <w:sz w:val="20"/>
          <w:szCs w:val="20"/>
        </w:rPr>
        <w:t>ion have continued to increase</w:t>
      </w:r>
      <w:r w:rsidRPr="00FB3443">
        <w:rPr>
          <w:color w:val="auto"/>
          <w:sz w:val="20"/>
          <w:szCs w:val="20"/>
        </w:rPr>
        <w:t>. We are delighted with the continual growth and focus exercised within this area of diversity and inclusion,” Hough said.</w:t>
      </w:r>
    </w:p>
    <w:p w14:paraId="3ABB1B5A" w14:textId="77777777" w:rsidR="0058094C" w:rsidRDefault="0058094C" w:rsidP="0058094C">
      <w:pPr>
        <w:pStyle w:val="Default"/>
        <w:rPr>
          <w:color w:val="auto"/>
          <w:sz w:val="20"/>
          <w:szCs w:val="20"/>
        </w:rPr>
      </w:pPr>
    </w:p>
    <w:p w14:paraId="3C4246CC" w14:textId="7FB36B95" w:rsidR="00A95E08" w:rsidRDefault="00A95E08" w:rsidP="00A95E08">
      <w:pPr>
        <w:pStyle w:val="Default"/>
        <w:rPr>
          <w:color w:val="auto"/>
          <w:sz w:val="20"/>
          <w:szCs w:val="20"/>
        </w:rPr>
      </w:pPr>
      <w:r>
        <w:rPr>
          <w:color w:val="auto"/>
          <w:sz w:val="20"/>
          <w:szCs w:val="20"/>
        </w:rPr>
        <w:t xml:space="preserve">Pride in Diversity is part of Pride Inclusion Programs, </w:t>
      </w:r>
      <w:r w:rsidR="00633DBD">
        <w:rPr>
          <w:color w:val="auto"/>
          <w:sz w:val="20"/>
          <w:szCs w:val="20"/>
        </w:rPr>
        <w:t xml:space="preserve">a suite of social inclusion programs delivered by ACON, Australia’s largest LGBTQ health organisation. Pride Inclusion Programs also includes </w:t>
      </w:r>
      <w:r>
        <w:rPr>
          <w:color w:val="auto"/>
          <w:sz w:val="20"/>
          <w:szCs w:val="20"/>
        </w:rPr>
        <w:t xml:space="preserve">Pride In Sport and Pride in Health+Wellbeing. </w:t>
      </w:r>
    </w:p>
    <w:p w14:paraId="50648B56" w14:textId="77777777" w:rsidR="00A95E08" w:rsidRPr="00FB3443" w:rsidRDefault="00A95E08" w:rsidP="0058094C">
      <w:pPr>
        <w:pStyle w:val="Default"/>
        <w:rPr>
          <w:color w:val="auto"/>
          <w:sz w:val="20"/>
          <w:szCs w:val="20"/>
        </w:rPr>
      </w:pPr>
    </w:p>
    <w:p w14:paraId="5D637A08" w14:textId="541895F0" w:rsidR="00950388" w:rsidRDefault="0058094C" w:rsidP="0058094C">
      <w:pPr>
        <w:pStyle w:val="Default"/>
        <w:rPr>
          <w:color w:val="auto"/>
          <w:sz w:val="20"/>
          <w:szCs w:val="20"/>
        </w:rPr>
      </w:pPr>
      <w:r w:rsidRPr="00FB3443">
        <w:rPr>
          <w:color w:val="auto"/>
          <w:sz w:val="20"/>
          <w:szCs w:val="20"/>
        </w:rPr>
        <w:t>This year</w:t>
      </w:r>
      <w:r w:rsidR="0034032E">
        <w:rPr>
          <w:color w:val="auto"/>
          <w:sz w:val="20"/>
          <w:szCs w:val="20"/>
        </w:rPr>
        <w:t xml:space="preserve"> awards</w:t>
      </w:r>
      <w:r w:rsidRPr="00FB3443">
        <w:rPr>
          <w:color w:val="auto"/>
          <w:sz w:val="20"/>
          <w:szCs w:val="20"/>
        </w:rPr>
        <w:t xml:space="preserve"> also celebrated the results of the Health + Wellbeing Equality Index (HWEI) focusing on LGB</w:t>
      </w:r>
      <w:r w:rsidR="008F0773">
        <w:rPr>
          <w:color w:val="auto"/>
          <w:sz w:val="20"/>
          <w:szCs w:val="20"/>
        </w:rPr>
        <w:t xml:space="preserve">T inclusive service provision. </w:t>
      </w:r>
      <w:r w:rsidRPr="00FB3443">
        <w:rPr>
          <w:color w:val="auto"/>
          <w:sz w:val="20"/>
          <w:szCs w:val="20"/>
        </w:rPr>
        <w:t xml:space="preserve">The award for Inclusive Service Provider of the Year went to Uniting, </w:t>
      </w:r>
      <w:r w:rsidR="00CB19EE">
        <w:rPr>
          <w:color w:val="auto"/>
          <w:sz w:val="20"/>
          <w:szCs w:val="20"/>
        </w:rPr>
        <w:t xml:space="preserve">which is </w:t>
      </w:r>
      <w:r w:rsidRPr="00FB3443">
        <w:rPr>
          <w:color w:val="auto"/>
          <w:sz w:val="20"/>
          <w:szCs w:val="20"/>
        </w:rPr>
        <w:t xml:space="preserve">also a Gold </w:t>
      </w:r>
      <w:r w:rsidR="00DA1A80">
        <w:rPr>
          <w:color w:val="auto"/>
          <w:sz w:val="20"/>
          <w:szCs w:val="20"/>
        </w:rPr>
        <w:t>Employer in</w:t>
      </w:r>
      <w:r w:rsidRPr="00FB3443">
        <w:rPr>
          <w:color w:val="auto"/>
          <w:sz w:val="20"/>
          <w:szCs w:val="20"/>
        </w:rPr>
        <w:t xml:space="preserve"> the </w:t>
      </w:r>
      <w:r w:rsidR="00DA1A80">
        <w:rPr>
          <w:color w:val="auto"/>
          <w:sz w:val="20"/>
          <w:szCs w:val="20"/>
        </w:rPr>
        <w:t>AWEI</w:t>
      </w:r>
      <w:r w:rsidRPr="00FB3443">
        <w:rPr>
          <w:color w:val="auto"/>
          <w:sz w:val="20"/>
          <w:szCs w:val="20"/>
        </w:rPr>
        <w:t>.</w:t>
      </w:r>
    </w:p>
    <w:p w14:paraId="57004AD8" w14:textId="77777777" w:rsidR="008F0773" w:rsidRDefault="008F0773" w:rsidP="0058094C">
      <w:pPr>
        <w:pStyle w:val="Default"/>
        <w:rPr>
          <w:color w:val="auto"/>
          <w:sz w:val="20"/>
          <w:szCs w:val="20"/>
        </w:rPr>
      </w:pPr>
    </w:p>
    <w:p w14:paraId="36944185" w14:textId="78A8F753" w:rsidR="00DA1A80" w:rsidRPr="00DA1A80" w:rsidRDefault="00DA1A80" w:rsidP="00DA1A80">
      <w:pPr>
        <w:pStyle w:val="Default"/>
        <w:rPr>
          <w:color w:val="auto"/>
          <w:sz w:val="20"/>
          <w:szCs w:val="20"/>
        </w:rPr>
      </w:pPr>
      <w:r>
        <w:rPr>
          <w:color w:val="auto"/>
          <w:sz w:val="20"/>
          <w:szCs w:val="20"/>
        </w:rPr>
        <w:t>“</w:t>
      </w:r>
      <w:r w:rsidRPr="00DA1A80">
        <w:rPr>
          <w:color w:val="auto"/>
          <w:sz w:val="20"/>
          <w:szCs w:val="20"/>
        </w:rPr>
        <w:t xml:space="preserve">LGBTI inclusion has well and truly made its way onto the Australian workplace diversity and inclusion agenda, and is starting to make a mark in the sporting </w:t>
      </w:r>
      <w:r>
        <w:rPr>
          <w:color w:val="auto"/>
          <w:sz w:val="20"/>
          <w:szCs w:val="20"/>
        </w:rPr>
        <w:t>and s</w:t>
      </w:r>
      <w:r w:rsidR="0034032E">
        <w:rPr>
          <w:color w:val="auto"/>
          <w:sz w:val="20"/>
          <w:szCs w:val="20"/>
        </w:rPr>
        <w:t xml:space="preserve">ervice provider sectors as well,” Hough said. </w:t>
      </w:r>
    </w:p>
    <w:p w14:paraId="70A25B43" w14:textId="77777777" w:rsidR="00DA1A80" w:rsidRPr="00DA1A80" w:rsidRDefault="00DA1A80" w:rsidP="00DA1A80">
      <w:pPr>
        <w:pStyle w:val="Default"/>
        <w:rPr>
          <w:color w:val="auto"/>
          <w:sz w:val="20"/>
          <w:szCs w:val="20"/>
        </w:rPr>
      </w:pPr>
    </w:p>
    <w:p w14:paraId="405E8ECF" w14:textId="36F9F48E" w:rsidR="00FB3443" w:rsidRDefault="00DA1A80" w:rsidP="00DA1A80">
      <w:pPr>
        <w:pStyle w:val="Default"/>
        <w:rPr>
          <w:color w:val="auto"/>
          <w:sz w:val="20"/>
          <w:szCs w:val="20"/>
        </w:rPr>
      </w:pPr>
      <w:r w:rsidRPr="00DA1A80">
        <w:rPr>
          <w:color w:val="auto"/>
          <w:sz w:val="20"/>
          <w:szCs w:val="20"/>
        </w:rPr>
        <w:t>“</w:t>
      </w:r>
      <w:r w:rsidR="00616863">
        <w:rPr>
          <w:color w:val="auto"/>
          <w:sz w:val="20"/>
          <w:szCs w:val="20"/>
        </w:rPr>
        <w:t>Congratulations to</w:t>
      </w:r>
      <w:r w:rsidRPr="00DA1A80">
        <w:rPr>
          <w:color w:val="auto"/>
          <w:sz w:val="20"/>
          <w:szCs w:val="20"/>
        </w:rPr>
        <w:t xml:space="preserve"> all award winners recognised today on their significant achievement</w:t>
      </w:r>
      <w:r w:rsidR="00616863">
        <w:rPr>
          <w:color w:val="auto"/>
          <w:sz w:val="20"/>
          <w:szCs w:val="20"/>
        </w:rPr>
        <w:t>s</w:t>
      </w:r>
      <w:r w:rsidRPr="00DA1A80">
        <w:rPr>
          <w:color w:val="auto"/>
          <w:sz w:val="20"/>
          <w:szCs w:val="20"/>
        </w:rPr>
        <w:t xml:space="preserve"> and for showing great </w:t>
      </w:r>
      <w:r w:rsidR="00616863">
        <w:rPr>
          <w:color w:val="auto"/>
          <w:sz w:val="20"/>
          <w:szCs w:val="20"/>
        </w:rPr>
        <w:t>leadership in LGBTI inclusion</w:t>
      </w:r>
      <w:r>
        <w:rPr>
          <w:color w:val="auto"/>
          <w:sz w:val="20"/>
          <w:szCs w:val="20"/>
        </w:rPr>
        <w:t>.”</w:t>
      </w:r>
    </w:p>
    <w:p w14:paraId="5774D1A1" w14:textId="77777777" w:rsidR="0034032E" w:rsidRPr="00FB3443" w:rsidRDefault="0034032E" w:rsidP="00DA1A80">
      <w:pPr>
        <w:pStyle w:val="Default"/>
        <w:rPr>
          <w:color w:val="auto"/>
          <w:sz w:val="20"/>
          <w:szCs w:val="20"/>
        </w:rPr>
      </w:pPr>
    </w:p>
    <w:p w14:paraId="0699818E" w14:textId="09075087" w:rsidR="00FB3443" w:rsidRPr="00FB3443" w:rsidRDefault="00FB3443" w:rsidP="0058094C">
      <w:pPr>
        <w:pStyle w:val="Default"/>
        <w:rPr>
          <w:color w:val="auto"/>
          <w:sz w:val="20"/>
          <w:szCs w:val="20"/>
        </w:rPr>
      </w:pPr>
      <w:r w:rsidRPr="00FB3443">
        <w:rPr>
          <w:color w:val="auto"/>
          <w:sz w:val="20"/>
          <w:szCs w:val="20"/>
        </w:rPr>
        <w:t xml:space="preserve">Pride Inclusion Programs will </w:t>
      </w:r>
      <w:r w:rsidR="00A95E08">
        <w:rPr>
          <w:color w:val="auto"/>
          <w:sz w:val="20"/>
          <w:szCs w:val="20"/>
        </w:rPr>
        <w:t>next</w:t>
      </w:r>
      <w:r w:rsidR="00CB19EE">
        <w:rPr>
          <w:color w:val="auto"/>
          <w:sz w:val="20"/>
          <w:szCs w:val="20"/>
        </w:rPr>
        <w:t xml:space="preserve"> </w:t>
      </w:r>
      <w:r w:rsidRPr="00FB3443">
        <w:rPr>
          <w:color w:val="auto"/>
          <w:sz w:val="20"/>
          <w:szCs w:val="20"/>
        </w:rPr>
        <w:t xml:space="preserve">celebrate LGBTI inclusion within Australian sport </w:t>
      </w:r>
      <w:r w:rsidR="00CB19EE">
        <w:rPr>
          <w:color w:val="auto"/>
          <w:sz w:val="20"/>
          <w:szCs w:val="20"/>
        </w:rPr>
        <w:t>at</w:t>
      </w:r>
      <w:r w:rsidRPr="00FB3443">
        <w:rPr>
          <w:color w:val="auto"/>
          <w:sz w:val="20"/>
          <w:szCs w:val="20"/>
        </w:rPr>
        <w:t xml:space="preserve"> the </w:t>
      </w:r>
      <w:r w:rsidR="00CB19EE">
        <w:rPr>
          <w:color w:val="auto"/>
          <w:sz w:val="20"/>
          <w:szCs w:val="20"/>
        </w:rPr>
        <w:t>second</w:t>
      </w:r>
      <w:r w:rsidRPr="00FB3443">
        <w:rPr>
          <w:color w:val="auto"/>
          <w:sz w:val="20"/>
          <w:szCs w:val="20"/>
        </w:rPr>
        <w:t xml:space="preserve"> Australian Pride in</w:t>
      </w:r>
      <w:r w:rsidR="00DA1A80">
        <w:rPr>
          <w:color w:val="auto"/>
          <w:sz w:val="20"/>
          <w:szCs w:val="20"/>
        </w:rPr>
        <w:t xml:space="preserve"> Sport Awards in Melbourne on 12 June. Held at Cargo Hall</w:t>
      </w:r>
      <w:r w:rsidRPr="00FB3443">
        <w:rPr>
          <w:color w:val="auto"/>
          <w:sz w:val="20"/>
          <w:szCs w:val="20"/>
        </w:rPr>
        <w:t xml:space="preserve">, </w:t>
      </w:r>
      <w:r w:rsidR="00A95E08">
        <w:rPr>
          <w:color w:val="auto"/>
          <w:sz w:val="20"/>
          <w:szCs w:val="20"/>
        </w:rPr>
        <w:t>t</w:t>
      </w:r>
      <w:r w:rsidRPr="00FB3443">
        <w:rPr>
          <w:color w:val="auto"/>
          <w:sz w:val="20"/>
          <w:szCs w:val="20"/>
        </w:rPr>
        <w:t xml:space="preserve">he event will be hosted by </w:t>
      </w:r>
      <w:r w:rsidR="00DA1A80" w:rsidRPr="00DA1A80">
        <w:rPr>
          <w:color w:val="auto"/>
          <w:sz w:val="20"/>
          <w:szCs w:val="20"/>
        </w:rPr>
        <w:t>NITV’s Matty Webb</w:t>
      </w:r>
      <w:r w:rsidRPr="00FB3443">
        <w:rPr>
          <w:color w:val="auto"/>
          <w:sz w:val="20"/>
          <w:szCs w:val="20"/>
        </w:rPr>
        <w:t xml:space="preserve"> and attended by Pride in Sport co-patrons Alex Blackwell and Daniel Kowalski, along with several </w:t>
      </w:r>
      <w:r w:rsidR="00DA1A80">
        <w:rPr>
          <w:color w:val="auto"/>
          <w:sz w:val="20"/>
          <w:szCs w:val="20"/>
        </w:rPr>
        <w:t>other leading sporting and community figures.</w:t>
      </w:r>
    </w:p>
    <w:p w14:paraId="37150E9B" w14:textId="77777777" w:rsidR="0058094C" w:rsidRPr="007D7F71" w:rsidRDefault="0058094C" w:rsidP="0058094C">
      <w:pPr>
        <w:pStyle w:val="Default"/>
        <w:rPr>
          <w:color w:val="000000" w:themeColor="text1"/>
          <w:sz w:val="22"/>
          <w:szCs w:val="22"/>
        </w:rPr>
      </w:pPr>
    </w:p>
    <w:p w14:paraId="4C4D68C9" w14:textId="77777777" w:rsidR="00950388" w:rsidRPr="00314F44" w:rsidRDefault="00950388" w:rsidP="00950388">
      <w:pPr>
        <w:pStyle w:val="Default"/>
        <w:rPr>
          <w:b/>
          <w:color w:val="000000" w:themeColor="text1"/>
          <w:sz w:val="20"/>
          <w:szCs w:val="20"/>
        </w:rPr>
      </w:pPr>
      <w:r w:rsidRPr="00314F44">
        <w:rPr>
          <w:b/>
          <w:color w:val="000000" w:themeColor="text1"/>
          <w:sz w:val="20"/>
          <w:szCs w:val="20"/>
        </w:rPr>
        <w:t xml:space="preserve">For more information on ACON’s Pride Inclusion Programs, go to </w:t>
      </w:r>
      <w:hyperlink r:id="rId7" w:history="1">
        <w:r w:rsidRPr="00314F44">
          <w:rPr>
            <w:rStyle w:val="Hyperlink"/>
            <w:b/>
            <w:sz w:val="20"/>
            <w:szCs w:val="20"/>
          </w:rPr>
          <w:t>www.prideinclusionprograms.com.au</w:t>
        </w:r>
      </w:hyperlink>
      <w:r w:rsidRPr="00314F44">
        <w:rPr>
          <w:b/>
          <w:color w:val="000000" w:themeColor="text1"/>
          <w:sz w:val="20"/>
          <w:szCs w:val="20"/>
        </w:rPr>
        <w:t xml:space="preserve"> </w:t>
      </w:r>
    </w:p>
    <w:p w14:paraId="1CEA0C4A" w14:textId="13DBA573" w:rsidR="00950388" w:rsidRPr="00314F44" w:rsidRDefault="00EC0037" w:rsidP="0020341D">
      <w:pPr>
        <w:pStyle w:val="Default"/>
        <w:rPr>
          <w:b/>
          <w:sz w:val="28"/>
          <w:szCs w:val="28"/>
          <w:u w:val="single"/>
        </w:rPr>
      </w:pPr>
      <w:r w:rsidRPr="00314F44">
        <w:rPr>
          <w:b/>
          <w:sz w:val="28"/>
          <w:szCs w:val="28"/>
          <w:u w:val="single"/>
        </w:rPr>
        <w:lastRenderedPageBreak/>
        <w:t>2019</w:t>
      </w:r>
      <w:r w:rsidR="00950388" w:rsidRPr="00314F44">
        <w:rPr>
          <w:b/>
          <w:sz w:val="28"/>
          <w:szCs w:val="28"/>
          <w:u w:val="single"/>
        </w:rPr>
        <w:t xml:space="preserve"> </w:t>
      </w:r>
      <w:r w:rsidR="0020341D" w:rsidRPr="00314F44">
        <w:rPr>
          <w:b/>
          <w:sz w:val="28"/>
          <w:szCs w:val="28"/>
          <w:u w:val="single"/>
        </w:rPr>
        <w:t>Australian LGBTI Inclusion Awards</w:t>
      </w:r>
    </w:p>
    <w:p w14:paraId="5C933E8F" w14:textId="77777777" w:rsidR="0020341D" w:rsidRPr="00314F44" w:rsidRDefault="0020341D" w:rsidP="0020341D">
      <w:pPr>
        <w:rPr>
          <w:u w:val="single"/>
        </w:rPr>
      </w:pPr>
    </w:p>
    <w:p w14:paraId="17D3D0A3" w14:textId="4C364652" w:rsidR="0020341D" w:rsidRPr="00314F44" w:rsidRDefault="0020341D" w:rsidP="0020341D">
      <w:pPr>
        <w:rPr>
          <w:b/>
          <w:sz w:val="28"/>
          <w:szCs w:val="28"/>
          <w:u w:val="single"/>
        </w:rPr>
      </w:pPr>
      <w:r w:rsidRPr="00314F44">
        <w:rPr>
          <w:b/>
          <w:sz w:val="28"/>
          <w:szCs w:val="28"/>
          <w:u w:val="single"/>
        </w:rPr>
        <w:t xml:space="preserve">2019 Australian Workplace Equality Index </w:t>
      </w:r>
      <w:r w:rsidR="008D5580">
        <w:rPr>
          <w:b/>
          <w:sz w:val="28"/>
          <w:szCs w:val="28"/>
          <w:u w:val="single"/>
        </w:rPr>
        <w:t xml:space="preserve">Award </w:t>
      </w:r>
      <w:r w:rsidRPr="00314F44">
        <w:rPr>
          <w:b/>
          <w:sz w:val="28"/>
          <w:szCs w:val="28"/>
          <w:u w:val="single"/>
        </w:rPr>
        <w:t xml:space="preserve">Recipients </w:t>
      </w:r>
    </w:p>
    <w:p w14:paraId="310F5F0B" w14:textId="77777777" w:rsidR="00314F44" w:rsidRDefault="00314F44" w:rsidP="0020341D"/>
    <w:p w14:paraId="01BA27D2" w14:textId="77777777" w:rsidR="0020341D" w:rsidRPr="008D5580" w:rsidRDefault="0020341D" w:rsidP="0020341D">
      <w:pPr>
        <w:rPr>
          <w:b/>
          <w:sz w:val="20"/>
          <w:szCs w:val="20"/>
        </w:rPr>
      </w:pPr>
      <w:r w:rsidRPr="008D5580">
        <w:rPr>
          <w:b/>
          <w:sz w:val="20"/>
          <w:szCs w:val="20"/>
        </w:rPr>
        <w:t xml:space="preserve">Employer of the Year </w:t>
      </w:r>
      <w:r w:rsidRPr="008D5580">
        <w:rPr>
          <w:b/>
          <w:sz w:val="20"/>
          <w:szCs w:val="20"/>
        </w:rPr>
        <w:tab/>
      </w:r>
    </w:p>
    <w:p w14:paraId="767700C3" w14:textId="5D964874" w:rsidR="0020341D" w:rsidRPr="008D5580" w:rsidRDefault="0020341D" w:rsidP="0020341D">
      <w:pPr>
        <w:rPr>
          <w:sz w:val="20"/>
          <w:szCs w:val="20"/>
        </w:rPr>
      </w:pPr>
      <w:r w:rsidRPr="008D5580">
        <w:rPr>
          <w:sz w:val="20"/>
          <w:szCs w:val="20"/>
        </w:rPr>
        <w:t>RMIT University</w:t>
      </w:r>
    </w:p>
    <w:p w14:paraId="18A076A7" w14:textId="77777777" w:rsidR="0020341D" w:rsidRPr="008D5580" w:rsidRDefault="0020341D" w:rsidP="0020341D">
      <w:pPr>
        <w:rPr>
          <w:sz w:val="20"/>
          <w:szCs w:val="20"/>
        </w:rPr>
      </w:pPr>
    </w:p>
    <w:p w14:paraId="5EF4AEFF" w14:textId="77777777" w:rsidR="0020341D" w:rsidRPr="008D5580" w:rsidRDefault="0020341D" w:rsidP="0020341D">
      <w:pPr>
        <w:rPr>
          <w:b/>
          <w:sz w:val="20"/>
          <w:szCs w:val="20"/>
        </w:rPr>
      </w:pPr>
      <w:r w:rsidRPr="008D5580">
        <w:rPr>
          <w:b/>
          <w:sz w:val="20"/>
          <w:szCs w:val="20"/>
        </w:rPr>
        <w:t xml:space="preserve">LGBTI Employee Network of the Year </w:t>
      </w:r>
      <w:r w:rsidRPr="008D5580">
        <w:rPr>
          <w:b/>
          <w:sz w:val="20"/>
          <w:szCs w:val="20"/>
        </w:rPr>
        <w:tab/>
      </w:r>
    </w:p>
    <w:p w14:paraId="4E652D21" w14:textId="6BEA4DAB" w:rsidR="0020341D" w:rsidRPr="008D5580" w:rsidRDefault="0020341D" w:rsidP="0020341D">
      <w:pPr>
        <w:rPr>
          <w:sz w:val="20"/>
          <w:szCs w:val="20"/>
        </w:rPr>
      </w:pPr>
      <w:r w:rsidRPr="008D5580">
        <w:rPr>
          <w:sz w:val="20"/>
          <w:szCs w:val="20"/>
        </w:rPr>
        <w:t xml:space="preserve">LGBTI ERG, LendLease </w:t>
      </w:r>
    </w:p>
    <w:p w14:paraId="16B27B94" w14:textId="77777777" w:rsidR="0020341D" w:rsidRPr="008D5580" w:rsidRDefault="0020341D" w:rsidP="0020341D">
      <w:pPr>
        <w:rPr>
          <w:sz w:val="20"/>
          <w:szCs w:val="20"/>
        </w:rPr>
      </w:pPr>
    </w:p>
    <w:p w14:paraId="5EDE835F" w14:textId="77777777" w:rsidR="0020341D" w:rsidRPr="008D5580" w:rsidRDefault="0020341D" w:rsidP="0020341D">
      <w:pPr>
        <w:rPr>
          <w:b/>
          <w:sz w:val="20"/>
          <w:szCs w:val="20"/>
        </w:rPr>
      </w:pPr>
      <w:r w:rsidRPr="008D5580">
        <w:rPr>
          <w:b/>
          <w:sz w:val="20"/>
          <w:szCs w:val="20"/>
        </w:rPr>
        <w:t>Platinum Employers (Long-term Gold Employers)</w:t>
      </w:r>
      <w:r w:rsidRPr="008D5580">
        <w:rPr>
          <w:b/>
          <w:sz w:val="20"/>
          <w:szCs w:val="20"/>
        </w:rPr>
        <w:tab/>
      </w:r>
    </w:p>
    <w:p w14:paraId="5741B40D" w14:textId="77777777" w:rsidR="0020341D" w:rsidRPr="008D5580" w:rsidRDefault="0020341D" w:rsidP="0020341D">
      <w:pPr>
        <w:rPr>
          <w:sz w:val="20"/>
          <w:szCs w:val="20"/>
        </w:rPr>
      </w:pPr>
      <w:r w:rsidRPr="008D5580">
        <w:rPr>
          <w:sz w:val="20"/>
          <w:szCs w:val="20"/>
        </w:rPr>
        <w:t>Accenture</w:t>
      </w:r>
    </w:p>
    <w:p w14:paraId="7D12F248" w14:textId="77777777" w:rsidR="0020341D" w:rsidRPr="008D5580" w:rsidRDefault="0020341D" w:rsidP="0020341D">
      <w:pPr>
        <w:rPr>
          <w:sz w:val="20"/>
          <w:szCs w:val="20"/>
        </w:rPr>
      </w:pPr>
      <w:r w:rsidRPr="008D5580">
        <w:rPr>
          <w:sz w:val="20"/>
          <w:szCs w:val="20"/>
        </w:rPr>
        <w:t>ANZ</w:t>
      </w:r>
    </w:p>
    <w:p w14:paraId="08133F88" w14:textId="77777777" w:rsidR="0020341D" w:rsidRPr="008D5580" w:rsidRDefault="0020341D" w:rsidP="0020341D">
      <w:pPr>
        <w:rPr>
          <w:sz w:val="20"/>
          <w:szCs w:val="20"/>
        </w:rPr>
      </w:pPr>
      <w:r w:rsidRPr="008D5580">
        <w:rPr>
          <w:sz w:val="20"/>
          <w:szCs w:val="20"/>
        </w:rPr>
        <w:t>LendLease</w:t>
      </w:r>
    </w:p>
    <w:p w14:paraId="66E4B0E5" w14:textId="65790B36" w:rsidR="0020341D" w:rsidRPr="008D5580" w:rsidRDefault="0020341D" w:rsidP="0020341D">
      <w:pPr>
        <w:rPr>
          <w:sz w:val="20"/>
          <w:szCs w:val="20"/>
        </w:rPr>
      </w:pPr>
      <w:r w:rsidRPr="008D5580">
        <w:rPr>
          <w:sz w:val="20"/>
          <w:szCs w:val="20"/>
        </w:rPr>
        <w:t>University of Western Australia</w:t>
      </w:r>
    </w:p>
    <w:p w14:paraId="6FB00968" w14:textId="77777777" w:rsidR="0020341D" w:rsidRPr="008D5580" w:rsidRDefault="0020341D" w:rsidP="0020341D">
      <w:pPr>
        <w:rPr>
          <w:sz w:val="20"/>
          <w:szCs w:val="20"/>
        </w:rPr>
      </w:pPr>
    </w:p>
    <w:p w14:paraId="4F65BF1C" w14:textId="77777777" w:rsidR="0020341D" w:rsidRPr="008D5580" w:rsidRDefault="0020341D" w:rsidP="0020341D">
      <w:pPr>
        <w:rPr>
          <w:b/>
          <w:sz w:val="20"/>
          <w:szCs w:val="20"/>
        </w:rPr>
      </w:pPr>
      <w:r w:rsidRPr="008D5580">
        <w:rPr>
          <w:b/>
          <w:sz w:val="20"/>
          <w:szCs w:val="20"/>
        </w:rPr>
        <w:t>Platinum Qualifiers for 2020</w:t>
      </w:r>
      <w:r w:rsidRPr="008D5580">
        <w:rPr>
          <w:b/>
          <w:sz w:val="20"/>
          <w:szCs w:val="20"/>
        </w:rPr>
        <w:tab/>
      </w:r>
    </w:p>
    <w:p w14:paraId="675540FB" w14:textId="77777777" w:rsidR="0020341D" w:rsidRPr="008D5580" w:rsidRDefault="0020341D" w:rsidP="0020341D">
      <w:pPr>
        <w:rPr>
          <w:sz w:val="20"/>
          <w:szCs w:val="20"/>
        </w:rPr>
      </w:pPr>
      <w:r w:rsidRPr="008D5580">
        <w:rPr>
          <w:sz w:val="20"/>
          <w:szCs w:val="20"/>
        </w:rPr>
        <w:t>EY</w:t>
      </w:r>
    </w:p>
    <w:p w14:paraId="6E632093" w14:textId="4CAAD571" w:rsidR="0020341D" w:rsidRPr="008D5580" w:rsidRDefault="0020341D" w:rsidP="0020341D">
      <w:pPr>
        <w:rPr>
          <w:sz w:val="20"/>
          <w:szCs w:val="20"/>
        </w:rPr>
      </w:pPr>
      <w:r w:rsidRPr="008D5580">
        <w:rPr>
          <w:sz w:val="20"/>
          <w:szCs w:val="20"/>
        </w:rPr>
        <w:t>Macquarie Group</w:t>
      </w:r>
    </w:p>
    <w:p w14:paraId="50CB3E58" w14:textId="77777777" w:rsidR="0020341D" w:rsidRPr="008D5580" w:rsidRDefault="0020341D" w:rsidP="0020341D">
      <w:pPr>
        <w:rPr>
          <w:sz w:val="20"/>
          <w:szCs w:val="20"/>
        </w:rPr>
      </w:pPr>
    </w:p>
    <w:p w14:paraId="20239E32" w14:textId="77777777" w:rsidR="0020341D" w:rsidRPr="008D5580" w:rsidRDefault="0020341D" w:rsidP="0020341D">
      <w:pPr>
        <w:rPr>
          <w:b/>
          <w:sz w:val="20"/>
          <w:szCs w:val="20"/>
        </w:rPr>
      </w:pPr>
      <w:r w:rsidRPr="008D5580">
        <w:rPr>
          <w:b/>
          <w:sz w:val="20"/>
          <w:szCs w:val="20"/>
        </w:rPr>
        <w:t>Gold Employers</w:t>
      </w:r>
      <w:r w:rsidRPr="008D5580">
        <w:rPr>
          <w:b/>
          <w:sz w:val="20"/>
          <w:szCs w:val="20"/>
        </w:rPr>
        <w:tab/>
      </w:r>
    </w:p>
    <w:p w14:paraId="7411E992" w14:textId="77777777" w:rsidR="0020341D" w:rsidRPr="008D5580" w:rsidRDefault="0020341D" w:rsidP="0020341D">
      <w:pPr>
        <w:rPr>
          <w:sz w:val="20"/>
          <w:szCs w:val="20"/>
        </w:rPr>
      </w:pPr>
      <w:r w:rsidRPr="008D5580">
        <w:rPr>
          <w:sz w:val="20"/>
          <w:szCs w:val="20"/>
        </w:rPr>
        <w:t>Australian Taxation Office</w:t>
      </w:r>
    </w:p>
    <w:p w14:paraId="2E424110" w14:textId="77777777" w:rsidR="0020341D" w:rsidRPr="008D5580" w:rsidRDefault="0020341D" w:rsidP="0020341D">
      <w:pPr>
        <w:rPr>
          <w:sz w:val="20"/>
          <w:szCs w:val="20"/>
        </w:rPr>
      </w:pPr>
      <w:r w:rsidRPr="008D5580">
        <w:rPr>
          <w:sz w:val="20"/>
          <w:szCs w:val="20"/>
        </w:rPr>
        <w:t>Brisbane City Council</w:t>
      </w:r>
    </w:p>
    <w:p w14:paraId="0BC9F79B" w14:textId="77777777" w:rsidR="0020341D" w:rsidRPr="008D5580" w:rsidRDefault="0020341D" w:rsidP="0020341D">
      <w:pPr>
        <w:rPr>
          <w:sz w:val="20"/>
          <w:szCs w:val="20"/>
        </w:rPr>
      </w:pPr>
      <w:r w:rsidRPr="008D5580">
        <w:rPr>
          <w:sz w:val="20"/>
          <w:szCs w:val="20"/>
        </w:rPr>
        <w:t>Clayton Utz</w:t>
      </w:r>
    </w:p>
    <w:p w14:paraId="774385AF" w14:textId="77777777" w:rsidR="0020341D" w:rsidRPr="008D5580" w:rsidRDefault="0020341D" w:rsidP="0020341D">
      <w:pPr>
        <w:rPr>
          <w:sz w:val="20"/>
          <w:szCs w:val="20"/>
        </w:rPr>
      </w:pPr>
      <w:r w:rsidRPr="008D5580">
        <w:rPr>
          <w:sz w:val="20"/>
          <w:szCs w:val="20"/>
        </w:rPr>
        <w:t>Deakin University</w:t>
      </w:r>
    </w:p>
    <w:p w14:paraId="556DA8E6" w14:textId="77777777" w:rsidR="0020341D" w:rsidRPr="008D5580" w:rsidRDefault="0020341D" w:rsidP="0020341D">
      <w:pPr>
        <w:rPr>
          <w:sz w:val="20"/>
          <w:szCs w:val="20"/>
        </w:rPr>
      </w:pPr>
      <w:r w:rsidRPr="008D5580">
        <w:rPr>
          <w:sz w:val="20"/>
          <w:szCs w:val="20"/>
        </w:rPr>
        <w:t>Department of Prime Minister &amp; Cabinet</w:t>
      </w:r>
    </w:p>
    <w:p w14:paraId="6D927114" w14:textId="77777777" w:rsidR="0020341D" w:rsidRPr="008D5580" w:rsidRDefault="0020341D" w:rsidP="0020341D">
      <w:pPr>
        <w:rPr>
          <w:sz w:val="20"/>
          <w:szCs w:val="20"/>
        </w:rPr>
      </w:pPr>
      <w:r w:rsidRPr="008D5580">
        <w:rPr>
          <w:sz w:val="20"/>
          <w:szCs w:val="20"/>
        </w:rPr>
        <w:t>EY</w:t>
      </w:r>
    </w:p>
    <w:p w14:paraId="4BD04050" w14:textId="77777777" w:rsidR="0020341D" w:rsidRPr="008D5580" w:rsidRDefault="0020341D" w:rsidP="0020341D">
      <w:pPr>
        <w:rPr>
          <w:sz w:val="20"/>
          <w:szCs w:val="20"/>
        </w:rPr>
      </w:pPr>
      <w:r w:rsidRPr="008D5580">
        <w:rPr>
          <w:sz w:val="20"/>
          <w:szCs w:val="20"/>
        </w:rPr>
        <w:t>Macquarie Bank Limited</w:t>
      </w:r>
    </w:p>
    <w:p w14:paraId="05C4DDAA" w14:textId="77777777" w:rsidR="0020341D" w:rsidRPr="008D5580" w:rsidRDefault="0020341D" w:rsidP="0020341D">
      <w:pPr>
        <w:rPr>
          <w:sz w:val="20"/>
          <w:szCs w:val="20"/>
        </w:rPr>
      </w:pPr>
      <w:r w:rsidRPr="008D5580">
        <w:rPr>
          <w:sz w:val="20"/>
          <w:szCs w:val="20"/>
        </w:rPr>
        <w:t>MinterEllison</w:t>
      </w:r>
    </w:p>
    <w:p w14:paraId="71FDF50A" w14:textId="77777777" w:rsidR="0020341D" w:rsidRPr="008D5580" w:rsidRDefault="0020341D" w:rsidP="0020341D">
      <w:pPr>
        <w:rPr>
          <w:sz w:val="20"/>
          <w:szCs w:val="20"/>
        </w:rPr>
      </w:pPr>
      <w:r w:rsidRPr="008D5580">
        <w:rPr>
          <w:sz w:val="20"/>
          <w:szCs w:val="20"/>
        </w:rPr>
        <w:t>NAB</w:t>
      </w:r>
    </w:p>
    <w:p w14:paraId="50317098" w14:textId="77777777" w:rsidR="0020341D" w:rsidRPr="008D5580" w:rsidRDefault="0020341D" w:rsidP="0020341D">
      <w:pPr>
        <w:rPr>
          <w:sz w:val="20"/>
          <w:szCs w:val="20"/>
        </w:rPr>
      </w:pPr>
      <w:r w:rsidRPr="008D5580">
        <w:rPr>
          <w:sz w:val="20"/>
          <w:szCs w:val="20"/>
        </w:rPr>
        <w:t>PwC</w:t>
      </w:r>
    </w:p>
    <w:p w14:paraId="14104EA5" w14:textId="34EC27D4" w:rsidR="0020341D" w:rsidRPr="008D5580" w:rsidRDefault="008D5580" w:rsidP="0020341D">
      <w:pPr>
        <w:rPr>
          <w:sz w:val="20"/>
          <w:szCs w:val="20"/>
        </w:rPr>
      </w:pPr>
      <w:r>
        <w:rPr>
          <w:sz w:val="20"/>
          <w:szCs w:val="20"/>
        </w:rPr>
        <w:t xml:space="preserve">QBE </w:t>
      </w:r>
      <w:r w:rsidR="0020341D" w:rsidRPr="008D5580">
        <w:rPr>
          <w:sz w:val="20"/>
          <w:szCs w:val="20"/>
        </w:rPr>
        <w:t>Insurance Australia</w:t>
      </w:r>
    </w:p>
    <w:p w14:paraId="7C1F7371" w14:textId="77777777" w:rsidR="0020341D" w:rsidRPr="008D5580" w:rsidRDefault="0020341D" w:rsidP="0020341D">
      <w:pPr>
        <w:rPr>
          <w:sz w:val="20"/>
          <w:szCs w:val="20"/>
        </w:rPr>
      </w:pPr>
      <w:r w:rsidRPr="008D5580">
        <w:rPr>
          <w:sz w:val="20"/>
          <w:szCs w:val="20"/>
        </w:rPr>
        <w:t>RMIT University</w:t>
      </w:r>
    </w:p>
    <w:p w14:paraId="3C862A66" w14:textId="77777777" w:rsidR="0020341D" w:rsidRPr="008D5580" w:rsidRDefault="0020341D" w:rsidP="0020341D">
      <w:pPr>
        <w:rPr>
          <w:sz w:val="20"/>
          <w:szCs w:val="20"/>
        </w:rPr>
      </w:pPr>
      <w:r w:rsidRPr="008D5580">
        <w:rPr>
          <w:sz w:val="20"/>
          <w:szCs w:val="20"/>
        </w:rPr>
        <w:t>Uniting</w:t>
      </w:r>
    </w:p>
    <w:p w14:paraId="6BE58A01" w14:textId="021550F8" w:rsidR="0020341D" w:rsidRPr="008D5580" w:rsidRDefault="0020341D" w:rsidP="0020341D">
      <w:pPr>
        <w:rPr>
          <w:sz w:val="20"/>
          <w:szCs w:val="20"/>
        </w:rPr>
      </w:pPr>
      <w:r w:rsidRPr="008D5580">
        <w:rPr>
          <w:sz w:val="20"/>
          <w:szCs w:val="20"/>
        </w:rPr>
        <w:t>Woolworths Group</w:t>
      </w:r>
    </w:p>
    <w:p w14:paraId="06CFD945" w14:textId="77777777" w:rsidR="0020341D" w:rsidRPr="008D5580" w:rsidRDefault="0020341D" w:rsidP="0020341D">
      <w:pPr>
        <w:rPr>
          <w:sz w:val="20"/>
          <w:szCs w:val="20"/>
        </w:rPr>
      </w:pPr>
    </w:p>
    <w:p w14:paraId="0EDEDD22" w14:textId="77777777" w:rsidR="0020341D" w:rsidRPr="008D5580" w:rsidRDefault="0020341D" w:rsidP="0020341D">
      <w:pPr>
        <w:rPr>
          <w:b/>
          <w:sz w:val="20"/>
          <w:szCs w:val="20"/>
        </w:rPr>
      </w:pPr>
      <w:r w:rsidRPr="008D5580">
        <w:rPr>
          <w:b/>
          <w:sz w:val="20"/>
          <w:szCs w:val="20"/>
        </w:rPr>
        <w:t>Small Employer Gold</w:t>
      </w:r>
    </w:p>
    <w:p w14:paraId="5670A4BD" w14:textId="77777777" w:rsidR="0020341D" w:rsidRPr="008D5580" w:rsidRDefault="0020341D" w:rsidP="0020341D">
      <w:pPr>
        <w:rPr>
          <w:sz w:val="20"/>
          <w:szCs w:val="20"/>
        </w:rPr>
      </w:pPr>
      <w:r w:rsidRPr="008D5580">
        <w:rPr>
          <w:sz w:val="20"/>
          <w:szCs w:val="20"/>
        </w:rPr>
        <w:t>Initiative Media</w:t>
      </w:r>
    </w:p>
    <w:p w14:paraId="6707DC57" w14:textId="77777777" w:rsidR="0020341D" w:rsidRPr="008D5580" w:rsidRDefault="0020341D" w:rsidP="0020341D">
      <w:pPr>
        <w:rPr>
          <w:sz w:val="20"/>
          <w:szCs w:val="20"/>
        </w:rPr>
      </w:pPr>
      <w:r w:rsidRPr="008D5580">
        <w:rPr>
          <w:sz w:val="20"/>
          <w:szCs w:val="20"/>
        </w:rPr>
        <w:t>Oliver Wyman</w:t>
      </w:r>
    </w:p>
    <w:p w14:paraId="5FEC4A10" w14:textId="0C737CC1" w:rsidR="0020341D" w:rsidRPr="008D5580" w:rsidRDefault="008D5580" w:rsidP="0020341D">
      <w:pPr>
        <w:rPr>
          <w:sz w:val="20"/>
          <w:szCs w:val="20"/>
        </w:rPr>
      </w:pPr>
      <w:r>
        <w:rPr>
          <w:sz w:val="20"/>
          <w:szCs w:val="20"/>
        </w:rPr>
        <w:t xml:space="preserve">BlackRock Investment </w:t>
      </w:r>
      <w:r w:rsidR="0020341D" w:rsidRPr="008D5580">
        <w:rPr>
          <w:sz w:val="20"/>
          <w:szCs w:val="20"/>
        </w:rPr>
        <w:t>Management Australia</w:t>
      </w:r>
    </w:p>
    <w:p w14:paraId="2E614C31" w14:textId="77777777" w:rsidR="0020341D" w:rsidRPr="008D5580" w:rsidRDefault="0020341D" w:rsidP="0020341D">
      <w:pPr>
        <w:rPr>
          <w:sz w:val="20"/>
          <w:szCs w:val="20"/>
        </w:rPr>
      </w:pPr>
    </w:p>
    <w:p w14:paraId="7CB3EDB8" w14:textId="77777777" w:rsidR="0020341D" w:rsidRPr="008D5580" w:rsidRDefault="0020341D" w:rsidP="0020341D">
      <w:pPr>
        <w:rPr>
          <w:b/>
          <w:sz w:val="20"/>
          <w:szCs w:val="20"/>
        </w:rPr>
      </w:pPr>
      <w:r w:rsidRPr="008D5580">
        <w:rPr>
          <w:b/>
          <w:sz w:val="20"/>
          <w:szCs w:val="20"/>
        </w:rPr>
        <w:t xml:space="preserve">Small Employer of the Year </w:t>
      </w:r>
      <w:r w:rsidRPr="008D5580">
        <w:rPr>
          <w:b/>
          <w:sz w:val="20"/>
          <w:szCs w:val="20"/>
        </w:rPr>
        <w:tab/>
      </w:r>
    </w:p>
    <w:p w14:paraId="06E231D7" w14:textId="1DB3944C" w:rsidR="0020341D" w:rsidRPr="008D5580" w:rsidRDefault="0020341D" w:rsidP="0020341D">
      <w:pPr>
        <w:rPr>
          <w:sz w:val="20"/>
          <w:szCs w:val="20"/>
        </w:rPr>
      </w:pPr>
      <w:r w:rsidRPr="008D5580">
        <w:rPr>
          <w:sz w:val="20"/>
          <w:szCs w:val="20"/>
        </w:rPr>
        <w:t>Initiative Media</w:t>
      </w:r>
    </w:p>
    <w:p w14:paraId="0D4CE32E" w14:textId="77777777" w:rsidR="0020341D" w:rsidRPr="008D5580" w:rsidRDefault="0020341D" w:rsidP="0020341D">
      <w:pPr>
        <w:rPr>
          <w:sz w:val="20"/>
          <w:szCs w:val="20"/>
        </w:rPr>
      </w:pPr>
    </w:p>
    <w:p w14:paraId="6E0A7B56" w14:textId="77777777" w:rsidR="0020341D" w:rsidRPr="008D5580" w:rsidRDefault="0020341D" w:rsidP="0020341D">
      <w:pPr>
        <w:rPr>
          <w:b/>
          <w:sz w:val="20"/>
          <w:szCs w:val="20"/>
        </w:rPr>
      </w:pPr>
      <w:r w:rsidRPr="008D5580">
        <w:rPr>
          <w:b/>
          <w:sz w:val="20"/>
          <w:szCs w:val="20"/>
        </w:rPr>
        <w:t>Most Improved Employer</w:t>
      </w:r>
    </w:p>
    <w:p w14:paraId="2E9EB968" w14:textId="232A88EE" w:rsidR="0020341D" w:rsidRPr="008D5580" w:rsidRDefault="0020341D" w:rsidP="0020341D">
      <w:pPr>
        <w:rPr>
          <w:sz w:val="20"/>
          <w:szCs w:val="20"/>
        </w:rPr>
      </w:pPr>
      <w:r w:rsidRPr="008D5580">
        <w:rPr>
          <w:sz w:val="20"/>
          <w:szCs w:val="20"/>
        </w:rPr>
        <w:t>Department of Prime Minister and Cabinet</w:t>
      </w:r>
    </w:p>
    <w:p w14:paraId="3C72F91A" w14:textId="77777777" w:rsidR="008D5580" w:rsidRDefault="008D5580" w:rsidP="0020341D">
      <w:pPr>
        <w:rPr>
          <w:sz w:val="20"/>
          <w:szCs w:val="20"/>
        </w:rPr>
      </w:pPr>
    </w:p>
    <w:p w14:paraId="31855E14" w14:textId="77777777" w:rsidR="0020341D" w:rsidRPr="008D5580" w:rsidRDefault="0020341D" w:rsidP="0020341D">
      <w:pPr>
        <w:rPr>
          <w:b/>
          <w:sz w:val="20"/>
          <w:szCs w:val="20"/>
        </w:rPr>
      </w:pPr>
      <w:r w:rsidRPr="008D5580">
        <w:rPr>
          <w:b/>
          <w:sz w:val="20"/>
          <w:szCs w:val="20"/>
        </w:rPr>
        <w:t>Trans and Gender Diverse Inclusion</w:t>
      </w:r>
    </w:p>
    <w:p w14:paraId="1A3B9C61" w14:textId="6476E3E7" w:rsidR="0020341D" w:rsidRPr="008D5580" w:rsidRDefault="0020341D" w:rsidP="0020341D">
      <w:pPr>
        <w:rPr>
          <w:sz w:val="20"/>
          <w:szCs w:val="20"/>
        </w:rPr>
      </w:pPr>
      <w:r w:rsidRPr="008D5580">
        <w:rPr>
          <w:sz w:val="20"/>
          <w:szCs w:val="20"/>
        </w:rPr>
        <w:t>RMIT University</w:t>
      </w:r>
    </w:p>
    <w:p w14:paraId="40120F6D" w14:textId="77777777" w:rsidR="0020341D" w:rsidRPr="008D5580" w:rsidRDefault="0020341D" w:rsidP="0020341D">
      <w:pPr>
        <w:rPr>
          <w:sz w:val="20"/>
          <w:szCs w:val="20"/>
        </w:rPr>
      </w:pPr>
    </w:p>
    <w:p w14:paraId="1DD89587" w14:textId="77777777" w:rsidR="0020341D" w:rsidRPr="008D5580" w:rsidRDefault="0020341D" w:rsidP="0020341D">
      <w:pPr>
        <w:rPr>
          <w:b/>
          <w:sz w:val="20"/>
          <w:szCs w:val="20"/>
        </w:rPr>
      </w:pPr>
      <w:r w:rsidRPr="008D5580">
        <w:rPr>
          <w:b/>
          <w:sz w:val="20"/>
          <w:szCs w:val="20"/>
        </w:rPr>
        <w:t xml:space="preserve">External Media Campaign </w:t>
      </w:r>
    </w:p>
    <w:p w14:paraId="7BEB07A8" w14:textId="18ED0DCC" w:rsidR="0020341D" w:rsidRPr="008D5580" w:rsidRDefault="0020341D" w:rsidP="0020341D">
      <w:pPr>
        <w:rPr>
          <w:sz w:val="20"/>
          <w:szCs w:val="20"/>
        </w:rPr>
      </w:pPr>
      <w:r w:rsidRPr="008D5580">
        <w:rPr>
          <w:sz w:val="20"/>
          <w:szCs w:val="20"/>
        </w:rPr>
        <w:t>‘The Road to Broken Hill’ AAMI, Suncorp</w:t>
      </w:r>
    </w:p>
    <w:p w14:paraId="593715F6" w14:textId="77777777" w:rsidR="0020341D" w:rsidRPr="008D5580" w:rsidRDefault="0020341D" w:rsidP="0020341D">
      <w:pPr>
        <w:rPr>
          <w:sz w:val="20"/>
          <w:szCs w:val="20"/>
        </w:rPr>
      </w:pPr>
    </w:p>
    <w:p w14:paraId="41B23C89" w14:textId="77777777" w:rsidR="0020341D" w:rsidRPr="008D5580" w:rsidRDefault="0020341D" w:rsidP="0020341D">
      <w:pPr>
        <w:rPr>
          <w:b/>
          <w:sz w:val="20"/>
          <w:szCs w:val="20"/>
        </w:rPr>
      </w:pPr>
      <w:r w:rsidRPr="008D5580">
        <w:rPr>
          <w:b/>
          <w:sz w:val="20"/>
          <w:szCs w:val="20"/>
        </w:rPr>
        <w:t xml:space="preserve">Executive Leadership </w:t>
      </w:r>
    </w:p>
    <w:p w14:paraId="0291B0BF" w14:textId="6DC923CA" w:rsidR="0020341D" w:rsidRPr="008D5580" w:rsidRDefault="0020341D" w:rsidP="0020341D">
      <w:pPr>
        <w:rPr>
          <w:sz w:val="20"/>
          <w:szCs w:val="20"/>
        </w:rPr>
      </w:pPr>
      <w:r w:rsidRPr="008D5580">
        <w:rPr>
          <w:sz w:val="20"/>
          <w:szCs w:val="20"/>
        </w:rPr>
        <w:t>Andrea Kenafake, Brisbane City Council</w:t>
      </w:r>
    </w:p>
    <w:p w14:paraId="586EFC49" w14:textId="77777777" w:rsidR="0020341D" w:rsidRPr="008D5580" w:rsidRDefault="0020341D" w:rsidP="0020341D">
      <w:pPr>
        <w:rPr>
          <w:sz w:val="20"/>
          <w:szCs w:val="20"/>
        </w:rPr>
      </w:pPr>
    </w:p>
    <w:p w14:paraId="5E46D4F4" w14:textId="77777777" w:rsidR="0020341D" w:rsidRPr="008D5580" w:rsidRDefault="0020341D" w:rsidP="0020341D">
      <w:pPr>
        <w:rPr>
          <w:b/>
          <w:sz w:val="20"/>
          <w:szCs w:val="20"/>
        </w:rPr>
      </w:pPr>
      <w:r w:rsidRPr="008D5580">
        <w:rPr>
          <w:b/>
          <w:sz w:val="20"/>
          <w:szCs w:val="20"/>
        </w:rPr>
        <w:t xml:space="preserve">Network Leader of the Year </w:t>
      </w:r>
    </w:p>
    <w:p w14:paraId="2A36347A" w14:textId="5E64839C" w:rsidR="0020341D" w:rsidRPr="008D5580" w:rsidRDefault="0020341D" w:rsidP="0020341D">
      <w:pPr>
        <w:rPr>
          <w:sz w:val="20"/>
          <w:szCs w:val="20"/>
        </w:rPr>
      </w:pPr>
      <w:r w:rsidRPr="008D5580">
        <w:rPr>
          <w:sz w:val="20"/>
          <w:szCs w:val="20"/>
        </w:rPr>
        <w:t>Cameron Tirendi, BHP</w:t>
      </w:r>
    </w:p>
    <w:p w14:paraId="5119D1E3" w14:textId="77777777" w:rsidR="0020341D" w:rsidRPr="008D5580" w:rsidRDefault="0020341D" w:rsidP="0020341D">
      <w:pPr>
        <w:rPr>
          <w:sz w:val="20"/>
          <w:szCs w:val="20"/>
        </w:rPr>
      </w:pPr>
    </w:p>
    <w:p w14:paraId="19E4D52F" w14:textId="77777777" w:rsidR="0020341D" w:rsidRPr="008D5580" w:rsidRDefault="0020341D" w:rsidP="0020341D">
      <w:pPr>
        <w:rPr>
          <w:b/>
          <w:sz w:val="20"/>
          <w:szCs w:val="20"/>
        </w:rPr>
      </w:pPr>
      <w:r w:rsidRPr="008D5580">
        <w:rPr>
          <w:b/>
          <w:sz w:val="20"/>
          <w:szCs w:val="20"/>
        </w:rPr>
        <w:t xml:space="preserve">Out Role Model </w:t>
      </w:r>
    </w:p>
    <w:p w14:paraId="7C8802C9" w14:textId="7AD33C2B" w:rsidR="0020341D" w:rsidRPr="008D5580" w:rsidRDefault="0020341D" w:rsidP="0020341D">
      <w:pPr>
        <w:rPr>
          <w:sz w:val="20"/>
          <w:szCs w:val="20"/>
        </w:rPr>
      </w:pPr>
      <w:r w:rsidRPr="008D5580">
        <w:rPr>
          <w:sz w:val="20"/>
          <w:szCs w:val="20"/>
        </w:rPr>
        <w:t>Nicholas Steepe, Charles Sturt University</w:t>
      </w:r>
    </w:p>
    <w:p w14:paraId="14B8447F" w14:textId="77777777" w:rsidR="0020341D" w:rsidRPr="008D5580" w:rsidRDefault="0020341D" w:rsidP="0020341D">
      <w:pPr>
        <w:rPr>
          <w:sz w:val="20"/>
          <w:szCs w:val="20"/>
        </w:rPr>
      </w:pPr>
    </w:p>
    <w:p w14:paraId="3609AED0" w14:textId="77777777" w:rsidR="0020341D" w:rsidRPr="008D5580" w:rsidRDefault="0020341D" w:rsidP="0020341D">
      <w:pPr>
        <w:rPr>
          <w:b/>
          <w:sz w:val="20"/>
          <w:szCs w:val="20"/>
        </w:rPr>
      </w:pPr>
      <w:r w:rsidRPr="008D5580">
        <w:rPr>
          <w:b/>
          <w:sz w:val="20"/>
          <w:szCs w:val="20"/>
        </w:rPr>
        <w:t xml:space="preserve">Sapphire Inspire </w:t>
      </w:r>
    </w:p>
    <w:p w14:paraId="08DFE165" w14:textId="2C842AEB" w:rsidR="0020341D" w:rsidRPr="008D5580" w:rsidRDefault="0020341D" w:rsidP="0020341D">
      <w:pPr>
        <w:rPr>
          <w:sz w:val="20"/>
          <w:szCs w:val="20"/>
        </w:rPr>
      </w:pPr>
      <w:r w:rsidRPr="008D5580">
        <w:rPr>
          <w:sz w:val="20"/>
          <w:szCs w:val="20"/>
        </w:rPr>
        <w:t>Caitlin Monnery-Korving, ANZ</w:t>
      </w:r>
    </w:p>
    <w:p w14:paraId="656F4C8A" w14:textId="77777777" w:rsidR="0020341D" w:rsidRPr="008D5580" w:rsidRDefault="0020341D" w:rsidP="0020341D">
      <w:pPr>
        <w:rPr>
          <w:sz w:val="20"/>
          <w:szCs w:val="20"/>
        </w:rPr>
      </w:pPr>
    </w:p>
    <w:p w14:paraId="79D83BCC" w14:textId="77777777" w:rsidR="0020341D" w:rsidRPr="008D5580" w:rsidRDefault="0020341D" w:rsidP="0020341D">
      <w:pPr>
        <w:rPr>
          <w:b/>
          <w:sz w:val="20"/>
          <w:szCs w:val="20"/>
        </w:rPr>
      </w:pPr>
      <w:r w:rsidRPr="008D5580">
        <w:rPr>
          <w:b/>
          <w:sz w:val="20"/>
          <w:szCs w:val="20"/>
        </w:rPr>
        <w:t>The Sally Webster Ally Award</w:t>
      </w:r>
      <w:r w:rsidRPr="008D5580">
        <w:rPr>
          <w:b/>
          <w:sz w:val="20"/>
          <w:szCs w:val="20"/>
        </w:rPr>
        <w:tab/>
      </w:r>
    </w:p>
    <w:p w14:paraId="337745B6" w14:textId="6E6BA4CF" w:rsidR="0020341D" w:rsidRPr="008D5580" w:rsidRDefault="0020341D" w:rsidP="0020341D">
      <w:pPr>
        <w:rPr>
          <w:sz w:val="20"/>
          <w:szCs w:val="20"/>
        </w:rPr>
      </w:pPr>
      <w:r w:rsidRPr="008D5580">
        <w:rPr>
          <w:sz w:val="20"/>
          <w:szCs w:val="20"/>
        </w:rPr>
        <w:t>Joint winners: Ian Bennett (PwC) &amp; Superintendent Richard Roberts (AFP – posthumously awarded)</w:t>
      </w:r>
    </w:p>
    <w:p w14:paraId="2311A203" w14:textId="77777777" w:rsidR="0020341D" w:rsidRDefault="0020341D" w:rsidP="0020341D">
      <w:pPr>
        <w:pStyle w:val="Default"/>
        <w:rPr>
          <w:b/>
          <w:sz w:val="28"/>
          <w:szCs w:val="28"/>
        </w:rPr>
      </w:pPr>
    </w:p>
    <w:p w14:paraId="5D12EE6C" w14:textId="59349CB7" w:rsidR="00EC0037" w:rsidRPr="00314F44" w:rsidRDefault="00EC0037" w:rsidP="0020341D">
      <w:pPr>
        <w:pStyle w:val="Default"/>
        <w:rPr>
          <w:b/>
          <w:sz w:val="28"/>
          <w:szCs w:val="28"/>
          <w:u w:val="single"/>
        </w:rPr>
      </w:pPr>
      <w:r w:rsidRPr="00314F44">
        <w:rPr>
          <w:b/>
          <w:sz w:val="28"/>
          <w:szCs w:val="28"/>
          <w:u w:val="single"/>
        </w:rPr>
        <w:t xml:space="preserve">2019 </w:t>
      </w:r>
      <w:r w:rsidR="00DA1A80" w:rsidRPr="00314F44">
        <w:rPr>
          <w:b/>
          <w:sz w:val="28"/>
          <w:szCs w:val="28"/>
          <w:u w:val="single"/>
        </w:rPr>
        <w:t>Health +</w:t>
      </w:r>
      <w:r w:rsidRPr="00314F44">
        <w:rPr>
          <w:b/>
          <w:sz w:val="28"/>
          <w:szCs w:val="28"/>
          <w:u w:val="single"/>
        </w:rPr>
        <w:t xml:space="preserve"> Wellbeing Equality Index </w:t>
      </w:r>
      <w:r w:rsidR="008D5580">
        <w:rPr>
          <w:b/>
          <w:sz w:val="28"/>
          <w:szCs w:val="28"/>
          <w:u w:val="single"/>
        </w:rPr>
        <w:t xml:space="preserve">Award </w:t>
      </w:r>
      <w:r w:rsidRPr="00314F44">
        <w:rPr>
          <w:b/>
          <w:sz w:val="28"/>
          <w:szCs w:val="28"/>
          <w:u w:val="single"/>
        </w:rPr>
        <w:t>Recipients</w:t>
      </w:r>
    </w:p>
    <w:p w14:paraId="13BE2DEC" w14:textId="77777777" w:rsidR="0020341D" w:rsidRPr="0020341D" w:rsidRDefault="0020341D" w:rsidP="00EC0037">
      <w:pPr>
        <w:pStyle w:val="Default"/>
        <w:jc w:val="center"/>
        <w:rPr>
          <w:b/>
          <w:sz w:val="22"/>
          <w:szCs w:val="22"/>
        </w:rPr>
      </w:pPr>
    </w:p>
    <w:p w14:paraId="01F48291" w14:textId="4E6D3123" w:rsidR="0020341D" w:rsidRPr="008D5580" w:rsidRDefault="0020341D" w:rsidP="0020341D">
      <w:pPr>
        <w:pStyle w:val="Default"/>
        <w:rPr>
          <w:b/>
          <w:sz w:val="20"/>
          <w:szCs w:val="20"/>
        </w:rPr>
      </w:pPr>
      <w:r w:rsidRPr="008D5580">
        <w:rPr>
          <w:b/>
          <w:sz w:val="20"/>
          <w:szCs w:val="20"/>
        </w:rPr>
        <w:t>LGBTI Inclusive Service Provider of the Year</w:t>
      </w:r>
    </w:p>
    <w:p w14:paraId="33FEBB88" w14:textId="630A4947" w:rsidR="0020341D" w:rsidRPr="008D5580" w:rsidRDefault="0020341D" w:rsidP="0020341D">
      <w:pPr>
        <w:pStyle w:val="Default"/>
        <w:rPr>
          <w:sz w:val="20"/>
          <w:szCs w:val="20"/>
        </w:rPr>
      </w:pPr>
      <w:r w:rsidRPr="008D5580">
        <w:rPr>
          <w:sz w:val="20"/>
          <w:szCs w:val="20"/>
        </w:rPr>
        <w:t>Uniting</w:t>
      </w:r>
    </w:p>
    <w:p w14:paraId="4E02F8A9" w14:textId="77777777" w:rsidR="0020341D" w:rsidRPr="008D5580" w:rsidRDefault="0020341D" w:rsidP="0020341D">
      <w:pPr>
        <w:pStyle w:val="Default"/>
        <w:rPr>
          <w:sz w:val="20"/>
          <w:szCs w:val="20"/>
        </w:rPr>
      </w:pPr>
    </w:p>
    <w:p w14:paraId="1CAA197D" w14:textId="5E0460B8" w:rsidR="0020341D" w:rsidRPr="008D5580" w:rsidRDefault="0020341D" w:rsidP="0020341D">
      <w:pPr>
        <w:pStyle w:val="Default"/>
        <w:rPr>
          <w:b/>
          <w:sz w:val="20"/>
          <w:szCs w:val="20"/>
        </w:rPr>
      </w:pPr>
      <w:r w:rsidRPr="008D5580">
        <w:rPr>
          <w:b/>
          <w:sz w:val="20"/>
          <w:szCs w:val="20"/>
        </w:rPr>
        <w:t>Gold Service Providers</w:t>
      </w:r>
    </w:p>
    <w:p w14:paraId="44A08B14" w14:textId="29103A80" w:rsidR="0020341D" w:rsidRPr="008D5580" w:rsidRDefault="0020341D" w:rsidP="0020341D">
      <w:pPr>
        <w:pStyle w:val="Default"/>
        <w:rPr>
          <w:sz w:val="20"/>
          <w:szCs w:val="20"/>
        </w:rPr>
      </w:pPr>
      <w:r w:rsidRPr="008D5580">
        <w:rPr>
          <w:sz w:val="20"/>
          <w:szCs w:val="20"/>
        </w:rPr>
        <w:t>Reliant Healthcare</w:t>
      </w:r>
    </w:p>
    <w:p w14:paraId="68FF669B" w14:textId="3473D92D" w:rsidR="0020341D" w:rsidRPr="008D5580" w:rsidRDefault="0020341D" w:rsidP="0020341D">
      <w:pPr>
        <w:pStyle w:val="Default"/>
        <w:rPr>
          <w:sz w:val="20"/>
          <w:szCs w:val="20"/>
        </w:rPr>
      </w:pPr>
      <w:r w:rsidRPr="008D5580">
        <w:rPr>
          <w:sz w:val="20"/>
          <w:szCs w:val="20"/>
        </w:rPr>
        <w:t>Flourish Australia</w:t>
      </w:r>
    </w:p>
    <w:p w14:paraId="6EA11371" w14:textId="5B5F6864" w:rsidR="0020341D" w:rsidRPr="008D5580" w:rsidRDefault="0020341D" w:rsidP="0020341D">
      <w:pPr>
        <w:pStyle w:val="Default"/>
        <w:rPr>
          <w:sz w:val="20"/>
          <w:szCs w:val="20"/>
        </w:rPr>
      </w:pPr>
      <w:r w:rsidRPr="008D5580">
        <w:rPr>
          <w:sz w:val="20"/>
          <w:szCs w:val="20"/>
        </w:rPr>
        <w:t>Uniting</w:t>
      </w:r>
    </w:p>
    <w:p w14:paraId="1C41A143" w14:textId="77777777" w:rsidR="0020341D" w:rsidRPr="008D5580" w:rsidRDefault="0020341D" w:rsidP="00EC0037">
      <w:pPr>
        <w:pStyle w:val="Default"/>
        <w:jc w:val="center"/>
        <w:rPr>
          <w:b/>
          <w:sz w:val="20"/>
          <w:szCs w:val="20"/>
        </w:rPr>
      </w:pPr>
    </w:p>
    <w:p w14:paraId="1551678F" w14:textId="2FB9EE0B" w:rsidR="0020341D" w:rsidRPr="008D5580" w:rsidRDefault="00314F44" w:rsidP="00314F44">
      <w:pPr>
        <w:pStyle w:val="Default"/>
        <w:rPr>
          <w:b/>
          <w:sz w:val="20"/>
          <w:szCs w:val="20"/>
          <w:u w:val="single"/>
        </w:rPr>
      </w:pPr>
      <w:r w:rsidRPr="008D5580">
        <w:rPr>
          <w:b/>
          <w:sz w:val="20"/>
          <w:szCs w:val="20"/>
          <w:u w:val="single"/>
        </w:rPr>
        <w:t>MEDIA ENQUIRIES</w:t>
      </w:r>
      <w:r w:rsidR="0023294A">
        <w:rPr>
          <w:b/>
          <w:sz w:val="20"/>
          <w:szCs w:val="20"/>
          <w:u w:val="single"/>
        </w:rPr>
        <w:t>:</w:t>
      </w:r>
    </w:p>
    <w:p w14:paraId="3999DE06" w14:textId="77777777" w:rsidR="0020341D" w:rsidRPr="008D5580" w:rsidRDefault="0020341D" w:rsidP="00314F44">
      <w:pPr>
        <w:rPr>
          <w:rFonts w:asciiTheme="minorHAnsi" w:eastAsia="Times New Roman" w:hAnsiTheme="minorHAnsi" w:cstheme="minorHAnsi"/>
          <w:b/>
          <w:color w:val="000000" w:themeColor="text1"/>
          <w:sz w:val="20"/>
          <w:szCs w:val="20"/>
          <w:lang w:eastAsia="en-AU"/>
        </w:rPr>
      </w:pPr>
    </w:p>
    <w:p w14:paraId="1E5FAEC7" w14:textId="70EE988D" w:rsidR="0020341D" w:rsidRPr="008D5580" w:rsidRDefault="00314F44" w:rsidP="00314F44">
      <w:pPr>
        <w:rPr>
          <w:rFonts w:asciiTheme="minorHAnsi" w:eastAsia="Times New Roman" w:hAnsiTheme="minorHAnsi" w:cstheme="minorHAnsi"/>
          <w:b/>
          <w:color w:val="000000" w:themeColor="text1"/>
          <w:sz w:val="20"/>
          <w:szCs w:val="20"/>
          <w:lang w:eastAsia="en-AU"/>
        </w:rPr>
      </w:pPr>
      <w:r w:rsidRPr="008D5580">
        <w:rPr>
          <w:rFonts w:asciiTheme="minorHAnsi" w:eastAsia="Times New Roman" w:hAnsiTheme="minorHAnsi" w:cstheme="minorHAnsi"/>
          <w:b/>
          <w:color w:val="000000" w:themeColor="text1"/>
          <w:sz w:val="20"/>
          <w:szCs w:val="20"/>
          <w:lang w:eastAsia="en-AU"/>
        </w:rPr>
        <w:t>David Alexander</w:t>
      </w:r>
    </w:p>
    <w:p w14:paraId="0925244F" w14:textId="712330B0" w:rsidR="00314F44" w:rsidRPr="008D5580" w:rsidRDefault="00314F44" w:rsidP="00314F44">
      <w:pPr>
        <w:rPr>
          <w:rFonts w:asciiTheme="minorHAnsi" w:eastAsia="Times New Roman" w:hAnsiTheme="minorHAnsi" w:cstheme="minorHAnsi"/>
          <w:color w:val="000000" w:themeColor="text1"/>
          <w:sz w:val="20"/>
          <w:szCs w:val="20"/>
          <w:lang w:eastAsia="en-AU"/>
        </w:rPr>
      </w:pPr>
      <w:r w:rsidRPr="008D5580">
        <w:rPr>
          <w:rFonts w:asciiTheme="minorHAnsi" w:eastAsia="Times New Roman" w:hAnsiTheme="minorHAnsi" w:cstheme="minorHAnsi"/>
          <w:color w:val="000000" w:themeColor="text1"/>
          <w:sz w:val="20"/>
          <w:szCs w:val="20"/>
          <w:lang w:eastAsia="en-AU"/>
        </w:rPr>
        <w:t>ACON Media and Communications Officer</w:t>
      </w:r>
    </w:p>
    <w:p w14:paraId="2916F78A" w14:textId="1DE82F4C" w:rsidR="00314F44" w:rsidRPr="008D5580" w:rsidRDefault="00314F44" w:rsidP="00314F44">
      <w:pPr>
        <w:rPr>
          <w:rFonts w:asciiTheme="minorHAnsi" w:eastAsia="Times New Roman" w:hAnsiTheme="minorHAnsi" w:cstheme="minorHAnsi"/>
          <w:color w:val="000000" w:themeColor="text1"/>
          <w:sz w:val="20"/>
          <w:szCs w:val="20"/>
          <w:lang w:eastAsia="en-AU"/>
        </w:rPr>
      </w:pPr>
      <w:r w:rsidRPr="008D5580">
        <w:rPr>
          <w:rFonts w:asciiTheme="minorHAnsi" w:eastAsia="Times New Roman" w:hAnsiTheme="minorHAnsi" w:cstheme="minorHAnsi"/>
          <w:color w:val="000000" w:themeColor="text1"/>
          <w:sz w:val="20"/>
          <w:szCs w:val="20"/>
          <w:lang w:eastAsia="en-AU"/>
        </w:rPr>
        <w:t>0428 477 042</w:t>
      </w:r>
    </w:p>
    <w:p w14:paraId="1E28CA5E" w14:textId="6F6B4475" w:rsidR="00314F44" w:rsidRPr="008D5580" w:rsidRDefault="00314F44" w:rsidP="00314F44">
      <w:pPr>
        <w:rPr>
          <w:rFonts w:asciiTheme="minorHAnsi" w:eastAsia="Times New Roman" w:hAnsiTheme="minorHAnsi" w:cstheme="minorHAnsi"/>
          <w:color w:val="000000" w:themeColor="text1"/>
          <w:sz w:val="20"/>
          <w:szCs w:val="20"/>
          <w:lang w:eastAsia="en-AU"/>
        </w:rPr>
      </w:pPr>
      <w:r w:rsidRPr="008D5580">
        <w:rPr>
          <w:rFonts w:asciiTheme="minorHAnsi" w:eastAsia="Times New Roman" w:hAnsiTheme="minorHAnsi" w:cstheme="minorHAnsi"/>
          <w:color w:val="000000" w:themeColor="text1"/>
          <w:sz w:val="20"/>
          <w:szCs w:val="20"/>
          <w:lang w:eastAsia="en-AU"/>
        </w:rPr>
        <w:t>dalexander@acon.org.au</w:t>
      </w:r>
    </w:p>
    <w:p w14:paraId="6E0FBBAF" w14:textId="77777777" w:rsidR="00314F44" w:rsidRDefault="00314F44" w:rsidP="00314F44">
      <w:pPr>
        <w:rPr>
          <w:rFonts w:asciiTheme="minorHAnsi" w:eastAsia="Times New Roman" w:hAnsiTheme="minorHAnsi" w:cstheme="minorHAnsi"/>
          <w:b/>
          <w:color w:val="000000" w:themeColor="text1"/>
          <w:sz w:val="21"/>
          <w:szCs w:val="21"/>
          <w:lang w:eastAsia="en-AU"/>
        </w:rPr>
      </w:pPr>
    </w:p>
    <w:p w14:paraId="3A519208" w14:textId="77777777" w:rsidR="00EC0037" w:rsidRPr="0062687C" w:rsidRDefault="00EC0037" w:rsidP="00314F44">
      <w:pPr>
        <w:rPr>
          <w:rFonts w:asciiTheme="minorHAnsi" w:eastAsia="Times New Roman" w:hAnsiTheme="minorHAnsi" w:cstheme="minorHAnsi"/>
          <w:b/>
          <w:color w:val="000000" w:themeColor="text1"/>
          <w:sz w:val="21"/>
          <w:szCs w:val="21"/>
          <w:lang w:eastAsia="en-AU"/>
        </w:rPr>
      </w:pPr>
    </w:p>
    <w:sectPr w:rsidR="00EC0037" w:rsidRPr="0062687C" w:rsidSect="0062687C">
      <w:headerReference w:type="default" r:id="rId8"/>
      <w:pgSz w:w="11906" w:h="16838" w:code="9"/>
      <w:pgMar w:top="1169" w:right="707" w:bottom="709" w:left="709"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926E6" w14:textId="77777777" w:rsidR="00ED6689" w:rsidRDefault="00ED6689">
      <w:r>
        <w:separator/>
      </w:r>
    </w:p>
  </w:endnote>
  <w:endnote w:type="continuationSeparator" w:id="0">
    <w:p w14:paraId="281E6E5E" w14:textId="77777777" w:rsidR="00ED6689" w:rsidRDefault="00E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Walsheim Regular">
    <w:altName w:val="Corbel"/>
    <w:panose1 w:val="00000000000000000000"/>
    <w:charset w:val="00"/>
    <w:family w:val="modern"/>
    <w:notTrueType/>
    <w:pitch w:val="variable"/>
    <w:sig w:usb0="A00000AF" w:usb1="5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8E37F" w14:textId="77777777" w:rsidR="00ED6689" w:rsidRDefault="00ED6689">
      <w:r>
        <w:separator/>
      </w:r>
    </w:p>
  </w:footnote>
  <w:footnote w:type="continuationSeparator" w:id="0">
    <w:p w14:paraId="680326D5" w14:textId="77777777" w:rsidR="00ED6689" w:rsidRDefault="00ED6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20AB1" w14:textId="05954512" w:rsidR="00F234FD" w:rsidRPr="00950388" w:rsidRDefault="00950388" w:rsidP="00950388">
    <w:pPr>
      <w:pStyle w:val="Header"/>
      <w:spacing w:line="360" w:lineRule="auto"/>
      <w:rPr>
        <w:rFonts w:ascii="GT Walsheim Regular" w:hAnsi="GT Walsheim Regular"/>
        <w:sz w:val="20"/>
        <w:szCs w:val="20"/>
      </w:rPr>
    </w:pPr>
    <w:r>
      <w:rPr>
        <w:noProof/>
        <w:lang w:val="en-SG" w:eastAsia="en-SG"/>
      </w:rPr>
      <w:drawing>
        <wp:anchor distT="0" distB="0" distL="114300" distR="114300" simplePos="0" relativeHeight="251659264" behindDoc="0" locked="0" layoutInCell="1" allowOverlap="1" wp14:anchorId="4320A2C7" wp14:editId="5611842F">
          <wp:simplePos x="0" y="0"/>
          <wp:positionH relativeFrom="margin">
            <wp:posOffset>4646930</wp:posOffset>
          </wp:positionH>
          <wp:positionV relativeFrom="paragraph">
            <wp:posOffset>-185420</wp:posOffset>
          </wp:positionV>
          <wp:extent cx="1206500" cy="994011"/>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DS_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1206500" cy="994011"/>
                  </a:xfrm>
                  <a:prstGeom prst="rect">
                    <a:avLst/>
                  </a:prstGeom>
                </pic:spPr>
              </pic:pic>
            </a:graphicData>
          </a:graphic>
          <wp14:sizeRelH relativeFrom="margin">
            <wp14:pctWidth>0</wp14:pctWidth>
          </wp14:sizeRelH>
          <wp14:sizeRelV relativeFrom="margin">
            <wp14:pctHeight>0</wp14:pctHeight>
          </wp14:sizeRelV>
        </wp:anchor>
      </w:drawing>
    </w:r>
    <w:r>
      <w:rPr>
        <w:noProof/>
        <w:lang w:val="en-SG" w:eastAsia="en-SG"/>
      </w:rPr>
      <w:drawing>
        <wp:inline distT="0" distB="0" distL="0" distR="0" wp14:anchorId="7908DB62" wp14:editId="63D53669">
          <wp:extent cx="2314575" cy="81034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_PIP_Logo_s.png"/>
                  <pic:cNvPicPr/>
                </pic:nvPicPr>
                <pic:blipFill>
                  <a:blip r:embed="rId2">
                    <a:extLst>
                      <a:ext uri="{28A0092B-C50C-407E-A947-70E740481C1C}">
                        <a14:useLocalDpi xmlns:a14="http://schemas.microsoft.com/office/drawing/2010/main" val="0"/>
                      </a:ext>
                    </a:extLst>
                  </a:blip>
                  <a:stretch>
                    <a:fillRect/>
                  </a:stretch>
                </pic:blipFill>
                <pic:spPr>
                  <a:xfrm>
                    <a:off x="0" y="0"/>
                    <a:ext cx="2314575" cy="810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01691"/>
    <w:multiLevelType w:val="hybridMultilevel"/>
    <w:tmpl w:val="CD28F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215389"/>
    <w:multiLevelType w:val="hybridMultilevel"/>
    <w:tmpl w:val="E3FA7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573582"/>
    <w:multiLevelType w:val="hybridMultilevel"/>
    <w:tmpl w:val="A1AE25F2"/>
    <w:lvl w:ilvl="0" w:tplc="4FE2FEC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FF"/>
    <w:rsid w:val="0001549A"/>
    <w:rsid w:val="00066C6B"/>
    <w:rsid w:val="000C1DB6"/>
    <w:rsid w:val="000C747F"/>
    <w:rsid w:val="000E0EBA"/>
    <w:rsid w:val="000F4CA7"/>
    <w:rsid w:val="000F5D12"/>
    <w:rsid w:val="00127C39"/>
    <w:rsid w:val="00132C96"/>
    <w:rsid w:val="00151835"/>
    <w:rsid w:val="001B21ED"/>
    <w:rsid w:val="001B6950"/>
    <w:rsid w:val="001C1470"/>
    <w:rsid w:val="001C1F3C"/>
    <w:rsid w:val="001D11B6"/>
    <w:rsid w:val="001D551C"/>
    <w:rsid w:val="001E0EF5"/>
    <w:rsid w:val="001E14F6"/>
    <w:rsid w:val="0020341D"/>
    <w:rsid w:val="00206F21"/>
    <w:rsid w:val="002070F7"/>
    <w:rsid w:val="00214428"/>
    <w:rsid w:val="0021719E"/>
    <w:rsid w:val="002264FB"/>
    <w:rsid w:val="0023294A"/>
    <w:rsid w:val="00236990"/>
    <w:rsid w:val="002702C3"/>
    <w:rsid w:val="002858E4"/>
    <w:rsid w:val="0029674E"/>
    <w:rsid w:val="002A5088"/>
    <w:rsid w:val="002E1393"/>
    <w:rsid w:val="002E2FE4"/>
    <w:rsid w:val="002E5C75"/>
    <w:rsid w:val="002F102F"/>
    <w:rsid w:val="00314F44"/>
    <w:rsid w:val="00323075"/>
    <w:rsid w:val="00327870"/>
    <w:rsid w:val="00335B16"/>
    <w:rsid w:val="00335C6E"/>
    <w:rsid w:val="0034032E"/>
    <w:rsid w:val="003411CA"/>
    <w:rsid w:val="0035019A"/>
    <w:rsid w:val="00353BC8"/>
    <w:rsid w:val="00353EB9"/>
    <w:rsid w:val="003676C2"/>
    <w:rsid w:val="00367ACD"/>
    <w:rsid w:val="0038371F"/>
    <w:rsid w:val="003869BF"/>
    <w:rsid w:val="00391630"/>
    <w:rsid w:val="003A2461"/>
    <w:rsid w:val="00412587"/>
    <w:rsid w:val="00471E01"/>
    <w:rsid w:val="004747BF"/>
    <w:rsid w:val="004827DA"/>
    <w:rsid w:val="004A59E9"/>
    <w:rsid w:val="004C2B3F"/>
    <w:rsid w:val="004D11FC"/>
    <w:rsid w:val="004D2B24"/>
    <w:rsid w:val="004E78E8"/>
    <w:rsid w:val="004F5799"/>
    <w:rsid w:val="00503D37"/>
    <w:rsid w:val="005123FC"/>
    <w:rsid w:val="00515BC5"/>
    <w:rsid w:val="00522ED5"/>
    <w:rsid w:val="00523682"/>
    <w:rsid w:val="005712A6"/>
    <w:rsid w:val="0058094C"/>
    <w:rsid w:val="00594E0C"/>
    <w:rsid w:val="005D021C"/>
    <w:rsid w:val="005E0DA9"/>
    <w:rsid w:val="005E17AA"/>
    <w:rsid w:val="005E3D4C"/>
    <w:rsid w:val="00616863"/>
    <w:rsid w:val="00622DC1"/>
    <w:rsid w:val="0062687C"/>
    <w:rsid w:val="00633DBD"/>
    <w:rsid w:val="00637E8D"/>
    <w:rsid w:val="006414D9"/>
    <w:rsid w:val="00654CBE"/>
    <w:rsid w:val="00657E63"/>
    <w:rsid w:val="006A6F11"/>
    <w:rsid w:val="006F085F"/>
    <w:rsid w:val="00714F11"/>
    <w:rsid w:val="00732868"/>
    <w:rsid w:val="00782CD2"/>
    <w:rsid w:val="00784B28"/>
    <w:rsid w:val="007A1C53"/>
    <w:rsid w:val="007A2F39"/>
    <w:rsid w:val="007E5CCC"/>
    <w:rsid w:val="007F5CBB"/>
    <w:rsid w:val="007F61DB"/>
    <w:rsid w:val="008267DE"/>
    <w:rsid w:val="00827330"/>
    <w:rsid w:val="008277DA"/>
    <w:rsid w:val="0084440C"/>
    <w:rsid w:val="00850DC7"/>
    <w:rsid w:val="008651B3"/>
    <w:rsid w:val="00870B88"/>
    <w:rsid w:val="00877966"/>
    <w:rsid w:val="008800D2"/>
    <w:rsid w:val="008877B6"/>
    <w:rsid w:val="00894EFD"/>
    <w:rsid w:val="00895ABD"/>
    <w:rsid w:val="008D5580"/>
    <w:rsid w:val="008D70B2"/>
    <w:rsid w:val="008E4906"/>
    <w:rsid w:val="008E4F89"/>
    <w:rsid w:val="008F0773"/>
    <w:rsid w:val="008F463A"/>
    <w:rsid w:val="00900894"/>
    <w:rsid w:val="00950388"/>
    <w:rsid w:val="0095657D"/>
    <w:rsid w:val="0097304B"/>
    <w:rsid w:val="0099152C"/>
    <w:rsid w:val="009A4CB8"/>
    <w:rsid w:val="009B3598"/>
    <w:rsid w:val="009E4130"/>
    <w:rsid w:val="00A10B76"/>
    <w:rsid w:val="00A1693C"/>
    <w:rsid w:val="00A436F2"/>
    <w:rsid w:val="00A524BB"/>
    <w:rsid w:val="00A60509"/>
    <w:rsid w:val="00A672BF"/>
    <w:rsid w:val="00A67A83"/>
    <w:rsid w:val="00A91968"/>
    <w:rsid w:val="00A950B7"/>
    <w:rsid w:val="00A95E08"/>
    <w:rsid w:val="00AA0F2A"/>
    <w:rsid w:val="00AA1A04"/>
    <w:rsid w:val="00AA22A1"/>
    <w:rsid w:val="00AA5359"/>
    <w:rsid w:val="00AB2F36"/>
    <w:rsid w:val="00AB32BD"/>
    <w:rsid w:val="00AC33A6"/>
    <w:rsid w:val="00AC6485"/>
    <w:rsid w:val="00AD37D8"/>
    <w:rsid w:val="00B05BB6"/>
    <w:rsid w:val="00B16448"/>
    <w:rsid w:val="00B260D9"/>
    <w:rsid w:val="00B44667"/>
    <w:rsid w:val="00B603BD"/>
    <w:rsid w:val="00B64EB1"/>
    <w:rsid w:val="00B85DEE"/>
    <w:rsid w:val="00BC7277"/>
    <w:rsid w:val="00BC7AEA"/>
    <w:rsid w:val="00BD626B"/>
    <w:rsid w:val="00BE49FE"/>
    <w:rsid w:val="00BF4584"/>
    <w:rsid w:val="00C14371"/>
    <w:rsid w:val="00C47B04"/>
    <w:rsid w:val="00C671F5"/>
    <w:rsid w:val="00C770E1"/>
    <w:rsid w:val="00C8479F"/>
    <w:rsid w:val="00C84BE0"/>
    <w:rsid w:val="00C958D3"/>
    <w:rsid w:val="00CA6468"/>
    <w:rsid w:val="00CB19EE"/>
    <w:rsid w:val="00CE1FDD"/>
    <w:rsid w:val="00D02428"/>
    <w:rsid w:val="00D12C1E"/>
    <w:rsid w:val="00D3028B"/>
    <w:rsid w:val="00D31D75"/>
    <w:rsid w:val="00D36E21"/>
    <w:rsid w:val="00D64E1B"/>
    <w:rsid w:val="00D77C7B"/>
    <w:rsid w:val="00D8039F"/>
    <w:rsid w:val="00D91F18"/>
    <w:rsid w:val="00D9244F"/>
    <w:rsid w:val="00DA1A80"/>
    <w:rsid w:val="00DB6E34"/>
    <w:rsid w:val="00E11F4D"/>
    <w:rsid w:val="00E247BE"/>
    <w:rsid w:val="00E249A9"/>
    <w:rsid w:val="00E310A2"/>
    <w:rsid w:val="00E355D2"/>
    <w:rsid w:val="00E40636"/>
    <w:rsid w:val="00E40E04"/>
    <w:rsid w:val="00EB0618"/>
    <w:rsid w:val="00EB63DB"/>
    <w:rsid w:val="00EC0037"/>
    <w:rsid w:val="00ED10A0"/>
    <w:rsid w:val="00ED6689"/>
    <w:rsid w:val="00EF1608"/>
    <w:rsid w:val="00F0487D"/>
    <w:rsid w:val="00F170EF"/>
    <w:rsid w:val="00F22A34"/>
    <w:rsid w:val="00F23FFF"/>
    <w:rsid w:val="00F5364C"/>
    <w:rsid w:val="00F546FE"/>
    <w:rsid w:val="00F749C1"/>
    <w:rsid w:val="00F90534"/>
    <w:rsid w:val="00F91886"/>
    <w:rsid w:val="00F94EE1"/>
    <w:rsid w:val="00FA01FF"/>
    <w:rsid w:val="00FA593E"/>
    <w:rsid w:val="00FB047E"/>
    <w:rsid w:val="00FB0B4D"/>
    <w:rsid w:val="00FB3443"/>
    <w:rsid w:val="00FB4CF0"/>
    <w:rsid w:val="00FB7DA8"/>
    <w:rsid w:val="00FD3265"/>
    <w:rsid w:val="00FD5B2D"/>
    <w:rsid w:val="00FE2833"/>
    <w:rsid w:val="00FF5DEB"/>
    <w:rsid w:val="00FF62A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A1DA7"/>
  <w15:docId w15:val="{A74E518D-4C60-485A-8473-9B293A7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1FF"/>
    <w:pPr>
      <w:spacing w:after="0" w:line="240" w:lineRule="auto"/>
    </w:pPr>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1F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A01FF"/>
    <w:rPr>
      <w:lang w:val="en-AU"/>
    </w:rPr>
  </w:style>
  <w:style w:type="paragraph" w:styleId="NoSpacing">
    <w:name w:val="No Spacing"/>
    <w:uiPriority w:val="1"/>
    <w:qFormat/>
    <w:rsid w:val="00FA01FF"/>
    <w:pPr>
      <w:spacing w:after="0" w:line="240" w:lineRule="auto"/>
    </w:pPr>
    <w:rPr>
      <w:lang w:val="en-AU"/>
    </w:rPr>
  </w:style>
  <w:style w:type="character" w:styleId="Hyperlink">
    <w:name w:val="Hyperlink"/>
    <w:basedOn w:val="DefaultParagraphFont"/>
    <w:uiPriority w:val="99"/>
    <w:unhideWhenUsed/>
    <w:rsid w:val="00FA01FF"/>
    <w:rPr>
      <w:color w:val="0563C1" w:themeColor="hyperlink"/>
      <w:u w:val="single"/>
    </w:rPr>
  </w:style>
  <w:style w:type="table" w:styleId="TableGrid">
    <w:name w:val="Table Grid"/>
    <w:basedOn w:val="TableNormal"/>
    <w:uiPriority w:val="59"/>
    <w:rsid w:val="00FA01F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6B"/>
    <w:rPr>
      <w:rFonts w:ascii="Segoe UI" w:hAnsi="Segoe UI" w:cs="Segoe UI"/>
      <w:sz w:val="18"/>
      <w:szCs w:val="18"/>
      <w:lang w:val="en-AU"/>
    </w:rPr>
  </w:style>
  <w:style w:type="paragraph" w:styleId="Footer">
    <w:name w:val="footer"/>
    <w:basedOn w:val="Normal"/>
    <w:link w:val="FooterChar"/>
    <w:uiPriority w:val="99"/>
    <w:unhideWhenUsed/>
    <w:rsid w:val="00D12C1E"/>
    <w:pPr>
      <w:tabs>
        <w:tab w:val="center" w:pos="4513"/>
        <w:tab w:val="right" w:pos="9026"/>
      </w:tabs>
    </w:pPr>
  </w:style>
  <w:style w:type="character" w:customStyle="1" w:styleId="FooterChar">
    <w:name w:val="Footer Char"/>
    <w:basedOn w:val="DefaultParagraphFont"/>
    <w:link w:val="Footer"/>
    <w:uiPriority w:val="99"/>
    <w:rsid w:val="00D12C1E"/>
    <w:rPr>
      <w:rFonts w:ascii="Calibri" w:hAnsi="Calibri" w:cs="Calibri"/>
      <w:lang w:val="en-AU"/>
    </w:rPr>
  </w:style>
  <w:style w:type="character" w:customStyle="1" w:styleId="textexposedshow">
    <w:name w:val="text_exposed_show"/>
    <w:basedOn w:val="DefaultParagraphFont"/>
    <w:rsid w:val="00AC6485"/>
  </w:style>
  <w:style w:type="paragraph" w:styleId="NormalWeb">
    <w:name w:val="Normal (Web)"/>
    <w:basedOn w:val="Normal"/>
    <w:uiPriority w:val="99"/>
    <w:semiHidden/>
    <w:unhideWhenUsed/>
    <w:rsid w:val="00335B16"/>
    <w:pPr>
      <w:spacing w:before="100" w:beforeAutospacing="1" w:after="100" w:afterAutospacing="1"/>
    </w:pPr>
    <w:rPr>
      <w:rFonts w:ascii="Times New Roman" w:eastAsia="Times New Roman" w:hAnsi="Times New Roman" w:cs="Times New Roman"/>
      <w:sz w:val="24"/>
      <w:szCs w:val="24"/>
      <w:lang w:val="en-SG" w:eastAsia="en-SG"/>
    </w:rPr>
  </w:style>
  <w:style w:type="character" w:styleId="Emphasis">
    <w:name w:val="Emphasis"/>
    <w:basedOn w:val="DefaultParagraphFont"/>
    <w:uiPriority w:val="20"/>
    <w:qFormat/>
    <w:rsid w:val="00335B16"/>
    <w:rPr>
      <w:i/>
      <w:iCs/>
    </w:rPr>
  </w:style>
  <w:style w:type="character" w:styleId="CommentReference">
    <w:name w:val="annotation reference"/>
    <w:basedOn w:val="DefaultParagraphFont"/>
    <w:uiPriority w:val="99"/>
    <w:semiHidden/>
    <w:unhideWhenUsed/>
    <w:rsid w:val="00206F21"/>
    <w:rPr>
      <w:sz w:val="16"/>
      <w:szCs w:val="16"/>
    </w:rPr>
  </w:style>
  <w:style w:type="paragraph" w:styleId="CommentText">
    <w:name w:val="annotation text"/>
    <w:basedOn w:val="Normal"/>
    <w:link w:val="CommentTextChar"/>
    <w:uiPriority w:val="99"/>
    <w:unhideWhenUsed/>
    <w:rsid w:val="00206F21"/>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206F21"/>
    <w:rPr>
      <w:sz w:val="20"/>
      <w:szCs w:val="20"/>
      <w:lang w:val="en-GB"/>
    </w:rPr>
  </w:style>
  <w:style w:type="paragraph" w:styleId="CommentSubject">
    <w:name w:val="annotation subject"/>
    <w:basedOn w:val="CommentText"/>
    <w:next w:val="CommentText"/>
    <w:link w:val="CommentSubjectChar"/>
    <w:uiPriority w:val="99"/>
    <w:semiHidden/>
    <w:unhideWhenUsed/>
    <w:rsid w:val="00782CD2"/>
    <w:pPr>
      <w:spacing w:after="0"/>
    </w:pPr>
    <w:rPr>
      <w:rFonts w:ascii="Calibri" w:hAnsi="Calibri" w:cs="Calibri"/>
      <w:b/>
      <w:bCs/>
      <w:lang w:val="en-AU"/>
    </w:rPr>
  </w:style>
  <w:style w:type="character" w:customStyle="1" w:styleId="CommentSubjectChar">
    <w:name w:val="Comment Subject Char"/>
    <w:basedOn w:val="CommentTextChar"/>
    <w:link w:val="CommentSubject"/>
    <w:uiPriority w:val="99"/>
    <w:semiHidden/>
    <w:rsid w:val="00782CD2"/>
    <w:rPr>
      <w:rFonts w:ascii="Calibri" w:hAnsi="Calibri" w:cs="Calibri"/>
      <w:b/>
      <w:bCs/>
      <w:sz w:val="20"/>
      <w:szCs w:val="20"/>
      <w:lang w:val="en-AU"/>
    </w:rPr>
  </w:style>
  <w:style w:type="paragraph" w:styleId="ListParagraph">
    <w:name w:val="List Paragraph"/>
    <w:basedOn w:val="Normal"/>
    <w:uiPriority w:val="34"/>
    <w:qFormat/>
    <w:rsid w:val="003411CA"/>
    <w:pPr>
      <w:ind w:left="720"/>
      <w:contextualSpacing/>
    </w:pPr>
  </w:style>
  <w:style w:type="paragraph" w:customStyle="1" w:styleId="Default">
    <w:name w:val="Default"/>
    <w:rsid w:val="00950388"/>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91513">
      <w:bodyDiv w:val="1"/>
      <w:marLeft w:val="0"/>
      <w:marRight w:val="0"/>
      <w:marTop w:val="0"/>
      <w:marBottom w:val="0"/>
      <w:divBdr>
        <w:top w:val="none" w:sz="0" w:space="0" w:color="auto"/>
        <w:left w:val="none" w:sz="0" w:space="0" w:color="auto"/>
        <w:bottom w:val="none" w:sz="0" w:space="0" w:color="auto"/>
        <w:right w:val="none" w:sz="0" w:space="0" w:color="auto"/>
      </w:divBdr>
    </w:div>
    <w:div w:id="1584410383">
      <w:bodyDiv w:val="1"/>
      <w:marLeft w:val="0"/>
      <w:marRight w:val="0"/>
      <w:marTop w:val="0"/>
      <w:marBottom w:val="0"/>
      <w:divBdr>
        <w:top w:val="none" w:sz="0" w:space="0" w:color="auto"/>
        <w:left w:val="none" w:sz="0" w:space="0" w:color="auto"/>
        <w:bottom w:val="none" w:sz="0" w:space="0" w:color="auto"/>
        <w:right w:val="none" w:sz="0" w:space="0" w:color="auto"/>
      </w:divBdr>
    </w:div>
    <w:div w:id="1631743073">
      <w:bodyDiv w:val="1"/>
      <w:marLeft w:val="0"/>
      <w:marRight w:val="0"/>
      <w:marTop w:val="0"/>
      <w:marBottom w:val="0"/>
      <w:divBdr>
        <w:top w:val="none" w:sz="0" w:space="0" w:color="auto"/>
        <w:left w:val="none" w:sz="0" w:space="0" w:color="auto"/>
        <w:bottom w:val="none" w:sz="0" w:space="0" w:color="auto"/>
        <w:right w:val="none" w:sz="0" w:space="0" w:color="auto"/>
      </w:divBdr>
    </w:div>
    <w:div w:id="1661537401">
      <w:bodyDiv w:val="1"/>
      <w:marLeft w:val="0"/>
      <w:marRight w:val="0"/>
      <w:marTop w:val="0"/>
      <w:marBottom w:val="0"/>
      <w:divBdr>
        <w:top w:val="none" w:sz="0" w:space="0" w:color="auto"/>
        <w:left w:val="none" w:sz="0" w:space="0" w:color="auto"/>
        <w:bottom w:val="none" w:sz="0" w:space="0" w:color="auto"/>
        <w:right w:val="none" w:sz="0" w:space="0" w:color="auto"/>
      </w:divBdr>
    </w:div>
    <w:div w:id="1947154015">
      <w:bodyDiv w:val="1"/>
      <w:marLeft w:val="0"/>
      <w:marRight w:val="0"/>
      <w:marTop w:val="0"/>
      <w:marBottom w:val="0"/>
      <w:divBdr>
        <w:top w:val="none" w:sz="0" w:space="0" w:color="auto"/>
        <w:left w:val="none" w:sz="0" w:space="0" w:color="auto"/>
        <w:bottom w:val="none" w:sz="0" w:space="0" w:color="auto"/>
        <w:right w:val="none" w:sz="0" w:space="0" w:color="auto"/>
      </w:divBdr>
    </w:div>
    <w:div w:id="20316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deinclusionprogram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 Domingo</dc:creator>
  <cp:lastModifiedBy>Reg Domingo</cp:lastModifiedBy>
  <cp:revision>2</cp:revision>
  <cp:lastPrinted>2019-05-23T02:34:00Z</cp:lastPrinted>
  <dcterms:created xsi:type="dcterms:W3CDTF">2019-05-24T00:07:00Z</dcterms:created>
  <dcterms:modified xsi:type="dcterms:W3CDTF">2019-05-24T00:07:00Z</dcterms:modified>
</cp:coreProperties>
</file>