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25E" w:rsidRDefault="0063487C">
      <w:pPr>
        <w:spacing w:before="2" w:after="0" w:line="240" w:lineRule="auto"/>
        <w:ind w:right="-20"/>
        <w:rPr>
          <w:rFonts w:ascii="Times New Roman" w:eastAsia="Times New Roman" w:hAnsi="Times New Roman"/>
          <w:sz w:val="20"/>
          <w:szCs w:val="20"/>
        </w:rPr>
      </w:pPr>
      <w:r>
        <w:rPr>
          <w:noProof/>
        </w:rPr>
        <w:drawing>
          <wp:inline distT="0" distB="0" distL="0" distR="0">
            <wp:extent cx="7545705" cy="135529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545705" cy="1355296"/>
                    </a:xfrm>
                    <a:prstGeom prst="rect">
                      <a:avLst/>
                    </a:prstGeom>
                    <a:noFill/>
                    <a:ln>
                      <a:noFill/>
                    </a:ln>
                  </pic:spPr>
                </pic:pic>
              </a:graphicData>
            </a:graphic>
          </wp:inline>
        </w:drawing>
      </w: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BA1C23">
      <w:pPr>
        <w:spacing w:after="0" w:line="200" w:lineRule="exact"/>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693451</wp:posOffset>
                </wp:positionH>
                <wp:positionV relativeFrom="paragraph">
                  <wp:posOffset>37341</wp:posOffset>
                </wp:positionV>
                <wp:extent cx="6953250" cy="8712835"/>
                <wp:effectExtent l="0" t="0" r="190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712835"/>
                        </a:xfrm>
                        <a:prstGeom prst="rect">
                          <a:avLst/>
                        </a:prstGeom>
                        <a:noFill/>
                        <a:ln w="9525">
                          <a:solidFill>
                            <a:schemeClr val="bg1">
                              <a:lumMod val="8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840DA" w:rsidRDefault="009840DA" w:rsidP="009840DA">
                            <w:pPr>
                              <w:jc w:val="center"/>
                              <w:rPr>
                                <w:b/>
                                <w:sz w:val="36"/>
                                <w:szCs w:val="36"/>
                              </w:rPr>
                            </w:pPr>
                          </w:p>
                          <w:p w:rsidR="00874FC7" w:rsidRPr="006473CB" w:rsidRDefault="006473CB" w:rsidP="006473CB">
                            <w:pPr>
                              <w:rPr>
                                <w:b/>
                                <w:sz w:val="32"/>
                                <w:szCs w:val="32"/>
                                <w:u w:val="single"/>
                              </w:rPr>
                            </w:pPr>
                            <w:r w:rsidRPr="006473CB">
                              <w:rPr>
                                <w:b/>
                                <w:sz w:val="32"/>
                                <w:szCs w:val="32"/>
                                <w:u w:val="single"/>
                              </w:rPr>
                              <w:t>BUILDING WORKERS DEMAND ACTION ON FAILED PROCUREMENT POLICY</w:t>
                            </w:r>
                          </w:p>
                          <w:p w:rsidR="006473CB" w:rsidRDefault="006473CB" w:rsidP="00874FC7">
                            <w:pPr>
                              <w:rPr>
                                <w:sz w:val="24"/>
                                <w:szCs w:val="24"/>
                              </w:rPr>
                            </w:pPr>
                            <w:bookmarkStart w:id="0" w:name="_GoBack"/>
                            <w:bookmarkEnd w:id="0"/>
                          </w:p>
                          <w:p w:rsidR="00874FC7" w:rsidRPr="00874FC7" w:rsidRDefault="006473CB" w:rsidP="00874FC7">
                            <w:pPr>
                              <w:rPr>
                                <w:sz w:val="24"/>
                                <w:szCs w:val="24"/>
                              </w:rPr>
                            </w:pPr>
                            <w:r>
                              <w:rPr>
                                <w:sz w:val="24"/>
                                <w:szCs w:val="24"/>
                              </w:rPr>
                              <w:t>May 28</w:t>
                            </w:r>
                            <w:r w:rsidR="00874FC7">
                              <w:rPr>
                                <w:sz w:val="24"/>
                                <w:szCs w:val="24"/>
                              </w:rPr>
                              <w:t>, 2019</w:t>
                            </w:r>
                          </w:p>
                          <w:p w:rsidR="006473CB" w:rsidRPr="006473CB" w:rsidRDefault="006473CB" w:rsidP="006473CB">
                            <w:pPr>
                              <w:rPr>
                                <w:sz w:val="24"/>
                                <w:szCs w:val="24"/>
                              </w:rPr>
                            </w:pPr>
                            <w:r w:rsidRPr="006473CB">
                              <w:rPr>
                                <w:sz w:val="24"/>
                                <w:szCs w:val="24"/>
                              </w:rPr>
                              <w:t>The Palaszczuk government must act urgently to fix its broken and poorly implemented procurement policy for major projects, Queensland construction workers demanded today.</w:t>
                            </w:r>
                          </w:p>
                          <w:p w:rsidR="006473CB" w:rsidRPr="006473CB" w:rsidRDefault="006473CB" w:rsidP="006473CB">
                            <w:pPr>
                              <w:rPr>
                                <w:sz w:val="24"/>
                                <w:szCs w:val="24"/>
                              </w:rPr>
                            </w:pPr>
                            <w:r w:rsidRPr="006473CB">
                              <w:rPr>
                                <w:sz w:val="24"/>
                                <w:szCs w:val="24"/>
                              </w:rPr>
                              <w:t xml:space="preserve">A rally of more than </w:t>
                            </w:r>
                            <w:r w:rsidR="00BA1C23">
                              <w:rPr>
                                <w:sz w:val="24"/>
                                <w:szCs w:val="24"/>
                              </w:rPr>
                              <w:t>4000</w:t>
                            </w:r>
                            <w:r w:rsidRPr="006473CB">
                              <w:rPr>
                                <w:sz w:val="24"/>
                                <w:szCs w:val="24"/>
                              </w:rPr>
                              <w:t xml:space="preserve"> thousand workers in Brisbane passed a resolution calling for an urgent inquiry into the failings of the state government’s much vaunted ‘Best Practice Principles’.</w:t>
                            </w:r>
                          </w:p>
                          <w:p w:rsidR="006473CB" w:rsidRPr="006473CB" w:rsidRDefault="006473CB" w:rsidP="006473CB">
                            <w:pPr>
                              <w:rPr>
                                <w:sz w:val="24"/>
                                <w:szCs w:val="24"/>
                              </w:rPr>
                            </w:pPr>
                            <w:r w:rsidRPr="006473CB">
                              <w:rPr>
                                <w:sz w:val="24"/>
                                <w:szCs w:val="24"/>
                              </w:rPr>
                              <w:t>CFMEU state secretary Michael Ravbar said the policy had failed to deliver on the government’s statement procurement objectives of creating secure local jobs, training and appre</w:t>
                            </w:r>
                            <w:r>
                              <w:rPr>
                                <w:sz w:val="24"/>
                                <w:szCs w:val="24"/>
                              </w:rPr>
                              <w:t xml:space="preserve">nticeship positions, and </w:t>
                            </w:r>
                            <w:proofErr w:type="spellStart"/>
                            <w:r>
                              <w:rPr>
                                <w:sz w:val="24"/>
                                <w:szCs w:val="24"/>
                              </w:rPr>
                              <w:t>maximis</w:t>
                            </w:r>
                            <w:r w:rsidRPr="006473CB">
                              <w:rPr>
                                <w:sz w:val="24"/>
                                <w:szCs w:val="24"/>
                              </w:rPr>
                              <w:t>ing</w:t>
                            </w:r>
                            <w:proofErr w:type="spellEnd"/>
                            <w:r w:rsidRPr="006473CB">
                              <w:rPr>
                                <w:sz w:val="24"/>
                                <w:szCs w:val="24"/>
                              </w:rPr>
                              <w:t xml:space="preserve"> use of local content.</w:t>
                            </w:r>
                          </w:p>
                          <w:p w:rsidR="006473CB" w:rsidRPr="006473CB" w:rsidRDefault="006473CB" w:rsidP="006473CB">
                            <w:pPr>
                              <w:rPr>
                                <w:sz w:val="24"/>
                                <w:szCs w:val="24"/>
                              </w:rPr>
                            </w:pPr>
                            <w:r w:rsidRPr="006473CB">
                              <w:rPr>
                                <w:sz w:val="24"/>
                                <w:szCs w:val="24"/>
                              </w:rPr>
                              <w:t xml:space="preserve">“What we have are major projects such as the Townsville Stadium – involving hundreds of millions of dollars of taxpayers’ money – where the benefits are not flowing through to the local economy as they should because of mismanagement and </w:t>
                            </w:r>
                            <w:r>
                              <w:rPr>
                                <w:sz w:val="24"/>
                                <w:szCs w:val="24"/>
                              </w:rPr>
                              <w:t>the greed</w:t>
                            </w:r>
                            <w:r w:rsidRPr="006473CB">
                              <w:rPr>
                                <w:sz w:val="24"/>
                                <w:szCs w:val="24"/>
                              </w:rPr>
                              <w:t xml:space="preserve"> of builders, in this case Watpac.”</w:t>
                            </w:r>
                          </w:p>
                          <w:p w:rsidR="006473CB" w:rsidRPr="006473CB" w:rsidRDefault="006473CB" w:rsidP="006473CB">
                            <w:pPr>
                              <w:rPr>
                                <w:sz w:val="24"/>
                                <w:szCs w:val="24"/>
                              </w:rPr>
                            </w:pPr>
                            <w:r w:rsidRPr="006473CB">
                              <w:rPr>
                                <w:sz w:val="24"/>
                                <w:szCs w:val="24"/>
                              </w:rPr>
                              <w:t xml:space="preserve">“There is a complete failure of transparency and accountability, and a lack of willingness on the part of the bureaucracy to enforce what should be sensible policy objectives that aim to </w:t>
                            </w:r>
                            <w:r>
                              <w:rPr>
                                <w:sz w:val="24"/>
                                <w:szCs w:val="24"/>
                              </w:rPr>
                              <w:t>leverage</w:t>
                            </w:r>
                            <w:r w:rsidRPr="006473CB">
                              <w:rPr>
                                <w:sz w:val="24"/>
                                <w:szCs w:val="24"/>
                              </w:rPr>
                              <w:t xml:space="preserve"> the benefit of major projects for all Queenslanders,” Mr Ravbar said.</w:t>
                            </w:r>
                          </w:p>
                          <w:p w:rsidR="006473CB" w:rsidRPr="006473CB" w:rsidRDefault="006473CB" w:rsidP="006473CB">
                            <w:pPr>
                              <w:rPr>
                                <w:sz w:val="24"/>
                                <w:szCs w:val="24"/>
                              </w:rPr>
                            </w:pPr>
                            <w:r w:rsidRPr="006473CB">
                              <w:rPr>
                                <w:sz w:val="24"/>
                                <w:szCs w:val="24"/>
                              </w:rPr>
                              <w:t xml:space="preserve">“In Townsville, for example, tens of millions of dollars that should have flowed through to local suppliers and workers has instead been used to fatten </w:t>
                            </w:r>
                            <w:r>
                              <w:rPr>
                                <w:sz w:val="24"/>
                                <w:szCs w:val="24"/>
                              </w:rPr>
                              <w:t>the margins of money-hungry corporates.</w:t>
                            </w:r>
                            <w:r w:rsidRPr="006473CB">
                              <w:rPr>
                                <w:sz w:val="24"/>
                                <w:szCs w:val="24"/>
                              </w:rPr>
                              <w:t>”</w:t>
                            </w:r>
                          </w:p>
                          <w:p w:rsidR="006473CB" w:rsidRPr="006473CB" w:rsidRDefault="006473CB" w:rsidP="006473CB">
                            <w:pPr>
                              <w:rPr>
                                <w:sz w:val="24"/>
                                <w:szCs w:val="24"/>
                              </w:rPr>
                            </w:pPr>
                            <w:r w:rsidRPr="006473CB">
                              <w:rPr>
                                <w:sz w:val="24"/>
                                <w:szCs w:val="24"/>
                              </w:rPr>
                              <w:t>“This is far from ‘best practice’, and sections of the government seem more concerned about protecting the interests of large contractors, than ensuring taxpayers’ money is not wasted.”</w:t>
                            </w:r>
                          </w:p>
                          <w:p w:rsidR="006473CB" w:rsidRPr="006473CB" w:rsidRDefault="006473CB" w:rsidP="006473CB">
                            <w:pPr>
                              <w:rPr>
                                <w:sz w:val="24"/>
                                <w:szCs w:val="24"/>
                              </w:rPr>
                            </w:pPr>
                            <w:r w:rsidRPr="006473CB">
                              <w:rPr>
                                <w:sz w:val="24"/>
                                <w:szCs w:val="24"/>
                              </w:rPr>
                              <w:t>“The shortcomings in administration need to be resolved quickly, and before work commences on the next series of major state projects such as Cross River Rail, or Queenslanders risk being taken for a ride by greedy contractors more interested cutting corners to boost their corporate bottom line than delivering lasting benefits for the state.”</w:t>
                            </w:r>
                          </w:p>
                          <w:p w:rsidR="002F170C" w:rsidRPr="004D60CE" w:rsidRDefault="006473CB" w:rsidP="006473CB">
                            <w:pPr>
                              <w:rPr>
                                <w:sz w:val="24"/>
                                <w:szCs w:val="24"/>
                              </w:rPr>
                            </w:pPr>
                            <w:r w:rsidRPr="006473CB">
                              <w:rPr>
                                <w:sz w:val="24"/>
                                <w:szCs w:val="24"/>
                              </w:rPr>
                              <w:t>CONTACT: Paul Syvret 0411 865 425</w:t>
                            </w:r>
                          </w:p>
                          <w:p w:rsidR="002F170C" w:rsidRDefault="002F170C"/>
                          <w:p w:rsidR="002F170C" w:rsidRDefault="002F170C"/>
                          <w:p w:rsidR="002F170C" w:rsidRDefault="002F170C"/>
                          <w:p w:rsidR="002F170C" w:rsidRDefault="002F170C"/>
                          <w:p w:rsidR="002F170C" w:rsidRDefault="002F170C"/>
                          <w:p w:rsidR="002F170C" w:rsidRDefault="002F170C"/>
                          <w:p w:rsidR="002F170C" w:rsidRDefault="002F17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6pt;margin-top:2.95pt;width:547.5pt;height:68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" filled="f" strokecolor="#d8d8d8 [2732]">
                <v:textbox>
                  <w:txbxContent>
                    <w:p w:rsidR="009840DA" w:rsidRDefault="009840DA" w:rsidP="009840DA">
                      <w:pPr>
                        <w:jc w:val="center"/>
                        <w:rPr>
                          <w:b/>
                          <w:sz w:val="36"/>
                          <w:szCs w:val="36"/>
                        </w:rPr>
                      </w:pPr>
                    </w:p>
                    <w:p w:rsidR="00874FC7" w:rsidRPr="006473CB" w:rsidRDefault="006473CB" w:rsidP="006473CB">
                      <w:pPr>
                        <w:rPr>
                          <w:b/>
                          <w:sz w:val="32"/>
                          <w:szCs w:val="32"/>
                          <w:u w:val="single"/>
                        </w:rPr>
                      </w:pPr>
                      <w:r w:rsidRPr="006473CB">
                        <w:rPr>
                          <w:b/>
                          <w:sz w:val="32"/>
                          <w:szCs w:val="32"/>
                          <w:u w:val="single"/>
                        </w:rPr>
                        <w:t>BUILDING WORKERS DEMAND ACTION ON FAILED PROCUREMENT POLICY</w:t>
                      </w:r>
                    </w:p>
                    <w:p w:rsidR="006473CB" w:rsidRDefault="006473CB" w:rsidP="00874FC7">
                      <w:pPr>
                        <w:rPr>
                          <w:sz w:val="24"/>
                          <w:szCs w:val="24"/>
                        </w:rPr>
                      </w:pPr>
                      <w:bookmarkStart w:id="1" w:name="_GoBack"/>
                      <w:bookmarkEnd w:id="1"/>
                    </w:p>
                    <w:p w:rsidR="00874FC7" w:rsidRPr="00874FC7" w:rsidRDefault="006473CB" w:rsidP="00874FC7">
                      <w:pPr>
                        <w:rPr>
                          <w:sz w:val="24"/>
                          <w:szCs w:val="24"/>
                        </w:rPr>
                      </w:pPr>
                      <w:r>
                        <w:rPr>
                          <w:sz w:val="24"/>
                          <w:szCs w:val="24"/>
                        </w:rPr>
                        <w:t>May 28</w:t>
                      </w:r>
                      <w:r w:rsidR="00874FC7">
                        <w:rPr>
                          <w:sz w:val="24"/>
                          <w:szCs w:val="24"/>
                        </w:rPr>
                        <w:t>, 2019</w:t>
                      </w:r>
                    </w:p>
                    <w:p w:rsidR="006473CB" w:rsidRPr="006473CB" w:rsidRDefault="006473CB" w:rsidP="006473CB">
                      <w:pPr>
                        <w:rPr>
                          <w:sz w:val="24"/>
                          <w:szCs w:val="24"/>
                        </w:rPr>
                      </w:pPr>
                      <w:r w:rsidRPr="006473CB">
                        <w:rPr>
                          <w:sz w:val="24"/>
                          <w:szCs w:val="24"/>
                        </w:rPr>
                        <w:t>The Palaszczuk government must act urgently to fix its broken and poorly implemented procurement policy for major projects, Queensland construction workers demanded today.</w:t>
                      </w:r>
                    </w:p>
                    <w:p w:rsidR="006473CB" w:rsidRPr="006473CB" w:rsidRDefault="006473CB" w:rsidP="006473CB">
                      <w:pPr>
                        <w:rPr>
                          <w:sz w:val="24"/>
                          <w:szCs w:val="24"/>
                        </w:rPr>
                      </w:pPr>
                      <w:r w:rsidRPr="006473CB">
                        <w:rPr>
                          <w:sz w:val="24"/>
                          <w:szCs w:val="24"/>
                        </w:rPr>
                        <w:t xml:space="preserve">A rally of more than </w:t>
                      </w:r>
                      <w:r w:rsidR="00BA1C23">
                        <w:rPr>
                          <w:sz w:val="24"/>
                          <w:szCs w:val="24"/>
                        </w:rPr>
                        <w:t>4000</w:t>
                      </w:r>
                      <w:r w:rsidRPr="006473CB">
                        <w:rPr>
                          <w:sz w:val="24"/>
                          <w:szCs w:val="24"/>
                        </w:rPr>
                        <w:t xml:space="preserve"> thousand workers in Brisbane passed a resolution calling for an urgent inquiry into the failings of the state government’s much vaunted ‘Best Practice Principles’.</w:t>
                      </w:r>
                    </w:p>
                    <w:p w:rsidR="006473CB" w:rsidRPr="006473CB" w:rsidRDefault="006473CB" w:rsidP="006473CB">
                      <w:pPr>
                        <w:rPr>
                          <w:sz w:val="24"/>
                          <w:szCs w:val="24"/>
                        </w:rPr>
                      </w:pPr>
                      <w:r w:rsidRPr="006473CB">
                        <w:rPr>
                          <w:sz w:val="24"/>
                          <w:szCs w:val="24"/>
                        </w:rPr>
                        <w:t>CFMEU state secretary Michael Ravbar said the policy had failed to deliver on the government’s statement procurement objectives of creating secure local jobs, training and appre</w:t>
                      </w:r>
                      <w:r>
                        <w:rPr>
                          <w:sz w:val="24"/>
                          <w:szCs w:val="24"/>
                        </w:rPr>
                        <w:t xml:space="preserve">nticeship positions, and </w:t>
                      </w:r>
                      <w:proofErr w:type="spellStart"/>
                      <w:r>
                        <w:rPr>
                          <w:sz w:val="24"/>
                          <w:szCs w:val="24"/>
                        </w:rPr>
                        <w:t>maximis</w:t>
                      </w:r>
                      <w:r w:rsidRPr="006473CB">
                        <w:rPr>
                          <w:sz w:val="24"/>
                          <w:szCs w:val="24"/>
                        </w:rPr>
                        <w:t>ing</w:t>
                      </w:r>
                      <w:proofErr w:type="spellEnd"/>
                      <w:r w:rsidRPr="006473CB">
                        <w:rPr>
                          <w:sz w:val="24"/>
                          <w:szCs w:val="24"/>
                        </w:rPr>
                        <w:t xml:space="preserve"> use of local content.</w:t>
                      </w:r>
                    </w:p>
                    <w:p w:rsidR="006473CB" w:rsidRPr="006473CB" w:rsidRDefault="006473CB" w:rsidP="006473CB">
                      <w:pPr>
                        <w:rPr>
                          <w:sz w:val="24"/>
                          <w:szCs w:val="24"/>
                        </w:rPr>
                      </w:pPr>
                      <w:r w:rsidRPr="006473CB">
                        <w:rPr>
                          <w:sz w:val="24"/>
                          <w:szCs w:val="24"/>
                        </w:rPr>
                        <w:t xml:space="preserve">“What we have are major projects such as the Townsville Stadium – involving hundreds of millions of dollars of taxpayers’ money – where the benefits are not flowing through to the local economy as they should because of mismanagement and </w:t>
                      </w:r>
                      <w:r>
                        <w:rPr>
                          <w:sz w:val="24"/>
                          <w:szCs w:val="24"/>
                        </w:rPr>
                        <w:t>the greed</w:t>
                      </w:r>
                      <w:r w:rsidRPr="006473CB">
                        <w:rPr>
                          <w:sz w:val="24"/>
                          <w:szCs w:val="24"/>
                        </w:rPr>
                        <w:t xml:space="preserve"> of builders, in this case Watpac.”</w:t>
                      </w:r>
                    </w:p>
                    <w:p w:rsidR="006473CB" w:rsidRPr="006473CB" w:rsidRDefault="006473CB" w:rsidP="006473CB">
                      <w:pPr>
                        <w:rPr>
                          <w:sz w:val="24"/>
                          <w:szCs w:val="24"/>
                        </w:rPr>
                      </w:pPr>
                      <w:r w:rsidRPr="006473CB">
                        <w:rPr>
                          <w:sz w:val="24"/>
                          <w:szCs w:val="24"/>
                        </w:rPr>
                        <w:t xml:space="preserve">“There is a complete failure of transparency and accountability, and a lack of willingness on the part of the bureaucracy to enforce what should be sensible policy objectives that aim to </w:t>
                      </w:r>
                      <w:r>
                        <w:rPr>
                          <w:sz w:val="24"/>
                          <w:szCs w:val="24"/>
                        </w:rPr>
                        <w:t>leverage</w:t>
                      </w:r>
                      <w:r w:rsidRPr="006473CB">
                        <w:rPr>
                          <w:sz w:val="24"/>
                          <w:szCs w:val="24"/>
                        </w:rPr>
                        <w:t xml:space="preserve"> the benefit of major projects for all Queenslanders,” Mr Ravbar said.</w:t>
                      </w:r>
                    </w:p>
                    <w:p w:rsidR="006473CB" w:rsidRPr="006473CB" w:rsidRDefault="006473CB" w:rsidP="006473CB">
                      <w:pPr>
                        <w:rPr>
                          <w:sz w:val="24"/>
                          <w:szCs w:val="24"/>
                        </w:rPr>
                      </w:pPr>
                      <w:r w:rsidRPr="006473CB">
                        <w:rPr>
                          <w:sz w:val="24"/>
                          <w:szCs w:val="24"/>
                        </w:rPr>
                        <w:t xml:space="preserve">“In Townsville, for example, tens of millions of dollars that should have flowed through to local suppliers and workers has instead been used to fatten </w:t>
                      </w:r>
                      <w:r>
                        <w:rPr>
                          <w:sz w:val="24"/>
                          <w:szCs w:val="24"/>
                        </w:rPr>
                        <w:t>the margins of money-hungry corporates.</w:t>
                      </w:r>
                      <w:r w:rsidRPr="006473CB">
                        <w:rPr>
                          <w:sz w:val="24"/>
                          <w:szCs w:val="24"/>
                        </w:rPr>
                        <w:t>”</w:t>
                      </w:r>
                    </w:p>
                    <w:p w:rsidR="006473CB" w:rsidRPr="006473CB" w:rsidRDefault="006473CB" w:rsidP="006473CB">
                      <w:pPr>
                        <w:rPr>
                          <w:sz w:val="24"/>
                          <w:szCs w:val="24"/>
                        </w:rPr>
                      </w:pPr>
                      <w:r w:rsidRPr="006473CB">
                        <w:rPr>
                          <w:sz w:val="24"/>
                          <w:szCs w:val="24"/>
                        </w:rPr>
                        <w:t>“This is far from ‘best practice’, and sections of the government seem more concerned about protecting the interests of large contractors, than ensuring taxpayers’ money is not wasted.”</w:t>
                      </w:r>
                    </w:p>
                    <w:p w:rsidR="006473CB" w:rsidRPr="006473CB" w:rsidRDefault="006473CB" w:rsidP="006473CB">
                      <w:pPr>
                        <w:rPr>
                          <w:sz w:val="24"/>
                          <w:szCs w:val="24"/>
                        </w:rPr>
                      </w:pPr>
                      <w:r w:rsidRPr="006473CB">
                        <w:rPr>
                          <w:sz w:val="24"/>
                          <w:szCs w:val="24"/>
                        </w:rPr>
                        <w:t>“The shortcomings in administration need to be resolved quickly, and before work commences on the next series of major state projects such as Cross River Rail, or Queenslanders risk being taken for a ride by greedy contractors more interested cutting corners to boost their corporate bottom line than delivering lasting benefits for the state.”</w:t>
                      </w:r>
                    </w:p>
                    <w:p w:rsidR="002F170C" w:rsidRPr="004D60CE" w:rsidRDefault="006473CB" w:rsidP="006473CB">
                      <w:pPr>
                        <w:rPr>
                          <w:sz w:val="24"/>
                          <w:szCs w:val="24"/>
                        </w:rPr>
                      </w:pPr>
                      <w:r w:rsidRPr="006473CB">
                        <w:rPr>
                          <w:sz w:val="24"/>
                          <w:szCs w:val="24"/>
                        </w:rPr>
                        <w:t>CONTACT: Paul Syvret 0411 865 425</w:t>
                      </w:r>
                    </w:p>
                    <w:p w:rsidR="002F170C" w:rsidRDefault="002F170C"/>
                    <w:p w:rsidR="002F170C" w:rsidRDefault="002F170C"/>
                    <w:p w:rsidR="002F170C" w:rsidRDefault="002F170C"/>
                    <w:p w:rsidR="002F170C" w:rsidRDefault="002F170C"/>
                    <w:p w:rsidR="002F170C" w:rsidRDefault="002F170C"/>
                    <w:p w:rsidR="002F170C" w:rsidRDefault="002F170C"/>
                    <w:p w:rsidR="002F170C" w:rsidRDefault="002F170C"/>
                  </w:txbxContent>
                </v:textbox>
              </v:shape>
            </w:pict>
          </mc:Fallback>
        </mc:AlternateContent>
      </w: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A855FA">
      <w:pPr>
        <w:spacing w:after="0" w:line="200" w:lineRule="exact"/>
        <w:rPr>
          <w:sz w:val="20"/>
          <w:szCs w:val="20"/>
        </w:rPr>
      </w:pPr>
      <w:r>
        <w:rPr>
          <w:noProof/>
        </w:rPr>
        <w:drawing>
          <wp:anchor distT="0" distB="0" distL="114300" distR="114300" simplePos="0" relativeHeight="251658239" behindDoc="1" locked="0" layoutInCell="1" allowOverlap="1">
            <wp:simplePos x="0" y="0"/>
            <wp:positionH relativeFrom="margin">
              <wp:posOffset>4596765</wp:posOffset>
            </wp:positionH>
            <wp:positionV relativeFrom="margin">
              <wp:posOffset>6720838</wp:posOffset>
            </wp:positionV>
            <wp:extent cx="2657498" cy="2657498"/>
            <wp:effectExtent l="495300" t="495300" r="428625" b="5048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EFD"/>
                        </a:clrFrom>
                        <a:clrTo>
                          <a:srgbClr val="FFFEFD">
                            <a:alpha val="0"/>
                          </a:srgbClr>
                        </a:clrTo>
                      </a:clrChange>
                      <a:lum bright="70000" contrast="-70000"/>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818013">
                      <a:off x="0" y="0"/>
                      <a:ext cx="2657498" cy="26574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661A48">
      <w:pPr>
        <w:spacing w:before="38" w:after="0" w:line="240" w:lineRule="auto"/>
        <w:ind w:left="4860" w:right="4686"/>
        <w:jc w:val="center"/>
        <w:rPr>
          <w:rFonts w:ascii="Arial" w:eastAsia="Arial" w:hAnsi="Arial" w:cs="Arial"/>
          <w:sz w:val="17"/>
          <w:szCs w:val="17"/>
        </w:rPr>
      </w:pPr>
      <w:hyperlink r:id="rId8" w:history="1">
        <w:r w:rsidR="006736DE" w:rsidRPr="00A7120F">
          <w:rPr>
            <w:rStyle w:val="Hyperlink"/>
            <w:rFonts w:ascii="Arial" w:eastAsia="Arial" w:hAnsi="Arial" w:cs="Arial"/>
            <w:b/>
            <w:bCs/>
            <w:w w:val="123"/>
            <w:sz w:val="17"/>
            <w:szCs w:val="17"/>
          </w:rPr>
          <w:t>www.qnt.cfmeu.org.au</w:t>
        </w:r>
      </w:hyperlink>
    </w:p>
    <w:p w:rsidR="00FA225E" w:rsidRDefault="0063487C">
      <w:pPr>
        <w:spacing w:before="49" w:after="0" w:line="240" w:lineRule="auto"/>
        <w:ind w:left="5063" w:right="5039"/>
        <w:jc w:val="center"/>
        <w:rPr>
          <w:rFonts w:ascii="Arial" w:eastAsia="Arial" w:hAnsi="Arial" w:cs="Arial"/>
          <w:sz w:val="17"/>
          <w:szCs w:val="17"/>
        </w:rPr>
      </w:pPr>
      <w:r>
        <w:rPr>
          <w:rFonts w:ascii="Arial" w:eastAsia="Arial" w:hAnsi="Arial" w:cs="Arial"/>
          <w:color w:val="413D3D"/>
          <w:w w:val="110"/>
          <w:sz w:val="17"/>
          <w:szCs w:val="17"/>
        </w:rPr>
        <w:t>A</w:t>
      </w:r>
      <w:r>
        <w:rPr>
          <w:rFonts w:ascii="Arial" w:eastAsia="Arial" w:hAnsi="Arial" w:cs="Arial"/>
          <w:color w:val="413D3D"/>
          <w:spacing w:val="-11"/>
          <w:w w:val="110"/>
          <w:sz w:val="17"/>
          <w:szCs w:val="17"/>
        </w:rPr>
        <w:t>B</w:t>
      </w:r>
      <w:r>
        <w:rPr>
          <w:rFonts w:ascii="Arial" w:eastAsia="Arial" w:hAnsi="Arial" w:cs="Arial"/>
          <w:color w:val="242121"/>
          <w:spacing w:val="-13"/>
          <w:w w:val="110"/>
          <w:sz w:val="17"/>
          <w:szCs w:val="17"/>
        </w:rPr>
        <w:t>N</w:t>
      </w:r>
      <w:r>
        <w:rPr>
          <w:rFonts w:ascii="Arial" w:eastAsia="Arial" w:hAnsi="Arial" w:cs="Arial"/>
          <w:color w:val="413D3D"/>
          <w:w w:val="110"/>
          <w:sz w:val="17"/>
          <w:szCs w:val="17"/>
        </w:rPr>
        <w:t>:</w:t>
      </w:r>
      <w:r>
        <w:rPr>
          <w:rFonts w:ascii="Arial" w:eastAsia="Arial" w:hAnsi="Arial" w:cs="Arial"/>
          <w:color w:val="413D3D"/>
          <w:spacing w:val="1"/>
          <w:w w:val="110"/>
          <w:sz w:val="17"/>
          <w:szCs w:val="17"/>
        </w:rPr>
        <w:t xml:space="preserve"> </w:t>
      </w:r>
      <w:r>
        <w:rPr>
          <w:rFonts w:ascii="Arial" w:eastAsia="Arial" w:hAnsi="Arial" w:cs="Arial"/>
          <w:color w:val="575454"/>
          <w:sz w:val="17"/>
          <w:szCs w:val="17"/>
        </w:rPr>
        <w:t>24</w:t>
      </w:r>
      <w:r>
        <w:rPr>
          <w:rFonts w:ascii="Arial" w:eastAsia="Arial" w:hAnsi="Arial" w:cs="Arial"/>
          <w:color w:val="575454"/>
          <w:spacing w:val="6"/>
          <w:sz w:val="17"/>
          <w:szCs w:val="17"/>
        </w:rPr>
        <w:t xml:space="preserve"> </w:t>
      </w:r>
      <w:r>
        <w:rPr>
          <w:rFonts w:ascii="Arial" w:eastAsia="Arial" w:hAnsi="Arial" w:cs="Arial"/>
          <w:color w:val="575454"/>
          <w:sz w:val="17"/>
          <w:szCs w:val="17"/>
        </w:rPr>
        <w:t>502</w:t>
      </w:r>
      <w:r>
        <w:rPr>
          <w:rFonts w:ascii="Arial" w:eastAsia="Arial" w:hAnsi="Arial" w:cs="Arial"/>
          <w:color w:val="575454"/>
          <w:spacing w:val="17"/>
          <w:sz w:val="17"/>
          <w:szCs w:val="17"/>
        </w:rPr>
        <w:t xml:space="preserve"> </w:t>
      </w:r>
      <w:r>
        <w:rPr>
          <w:rFonts w:ascii="Arial" w:eastAsia="Arial" w:hAnsi="Arial" w:cs="Arial"/>
          <w:color w:val="575454"/>
          <w:sz w:val="17"/>
          <w:szCs w:val="17"/>
        </w:rPr>
        <w:t>631</w:t>
      </w:r>
      <w:r>
        <w:rPr>
          <w:rFonts w:ascii="Arial" w:eastAsia="Arial" w:hAnsi="Arial" w:cs="Arial"/>
          <w:color w:val="575454"/>
          <w:spacing w:val="25"/>
          <w:sz w:val="17"/>
          <w:szCs w:val="17"/>
        </w:rPr>
        <w:t xml:space="preserve"> </w:t>
      </w:r>
      <w:r>
        <w:rPr>
          <w:rFonts w:ascii="Arial" w:eastAsia="Arial" w:hAnsi="Arial" w:cs="Arial"/>
          <w:color w:val="575454"/>
          <w:w w:val="107"/>
          <w:sz w:val="17"/>
          <w:szCs w:val="17"/>
        </w:rPr>
        <w:t>846</w:t>
      </w:r>
    </w:p>
    <w:sectPr w:rsidR="00FA225E">
      <w:type w:val="continuous"/>
      <w:pgSz w:w="11920" w:h="16840"/>
      <w:pgMar w:top="-2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25E"/>
    <w:rsid w:val="00007ABB"/>
    <w:rsid w:val="00007D2D"/>
    <w:rsid w:val="00022A74"/>
    <w:rsid w:val="00030D10"/>
    <w:rsid w:val="00043B1B"/>
    <w:rsid w:val="000564A3"/>
    <w:rsid w:val="00093B29"/>
    <w:rsid w:val="00105B6C"/>
    <w:rsid w:val="00195CEE"/>
    <w:rsid w:val="002F084F"/>
    <w:rsid w:val="002F170C"/>
    <w:rsid w:val="00313FAB"/>
    <w:rsid w:val="0033765F"/>
    <w:rsid w:val="00354BC5"/>
    <w:rsid w:val="00386615"/>
    <w:rsid w:val="003E6F57"/>
    <w:rsid w:val="004378E5"/>
    <w:rsid w:val="004D60CE"/>
    <w:rsid w:val="005242BD"/>
    <w:rsid w:val="005447C6"/>
    <w:rsid w:val="005F732A"/>
    <w:rsid w:val="0063487C"/>
    <w:rsid w:val="006403B6"/>
    <w:rsid w:val="006473CB"/>
    <w:rsid w:val="006616A1"/>
    <w:rsid w:val="006736DE"/>
    <w:rsid w:val="006919C1"/>
    <w:rsid w:val="00743BF4"/>
    <w:rsid w:val="007C0AFF"/>
    <w:rsid w:val="007C4F59"/>
    <w:rsid w:val="007F58D5"/>
    <w:rsid w:val="008641B0"/>
    <w:rsid w:val="00874FC7"/>
    <w:rsid w:val="00891C1B"/>
    <w:rsid w:val="008C61FB"/>
    <w:rsid w:val="00914B79"/>
    <w:rsid w:val="00945D5B"/>
    <w:rsid w:val="00961521"/>
    <w:rsid w:val="0096183D"/>
    <w:rsid w:val="009840DA"/>
    <w:rsid w:val="009F066E"/>
    <w:rsid w:val="00A51E28"/>
    <w:rsid w:val="00A619C3"/>
    <w:rsid w:val="00A855FA"/>
    <w:rsid w:val="00A913A1"/>
    <w:rsid w:val="00AA2280"/>
    <w:rsid w:val="00B745BC"/>
    <w:rsid w:val="00BA1C23"/>
    <w:rsid w:val="00C6066E"/>
    <w:rsid w:val="00C66843"/>
    <w:rsid w:val="00C95E0B"/>
    <w:rsid w:val="00D1790C"/>
    <w:rsid w:val="00D81864"/>
    <w:rsid w:val="00DC4F62"/>
    <w:rsid w:val="00DD33B5"/>
    <w:rsid w:val="00E3277F"/>
    <w:rsid w:val="00E62493"/>
    <w:rsid w:val="00E87EE1"/>
    <w:rsid w:val="00EE1C56"/>
    <w:rsid w:val="00F4216C"/>
    <w:rsid w:val="00FA225E"/>
    <w:rsid w:val="00FC5CEE"/>
    <w:rsid w:val="00FF6F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C33F"/>
  <w15:docId w15:val="{25FD75A0-229C-4ACC-B19B-17051FFA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9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790C"/>
    <w:rPr>
      <w:rFonts w:ascii="Tahoma" w:hAnsi="Tahoma" w:cs="Tahoma"/>
      <w:sz w:val="16"/>
      <w:szCs w:val="16"/>
    </w:rPr>
  </w:style>
  <w:style w:type="character" w:styleId="Hyperlink">
    <w:name w:val="Hyperlink"/>
    <w:basedOn w:val="DefaultParagraphFont"/>
    <w:uiPriority w:val="99"/>
    <w:unhideWhenUsed/>
    <w:rsid w:val="006919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qnt.cfmeu.org.au"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FF975-4F6D-364C-9C82-7EA41E664C5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LH SEPT 2014</vt:lpstr>
    </vt:vector>
  </TitlesOfParts>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 SEPT 2014</dc:title>
  <dc:creator>Donna Davey</dc:creator>
  <cp:lastModifiedBy>psyvret@cfmeu.org</cp:lastModifiedBy>
  <cp:revision>2</cp:revision>
  <cp:lastPrinted>2019-05-27T22:23:00Z</cp:lastPrinted>
  <dcterms:created xsi:type="dcterms:W3CDTF">2019-05-28T02:25:00Z</dcterms:created>
  <dcterms:modified xsi:type="dcterms:W3CDTF">2019-05-28T02:25:00Z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2014-10-03T00:00:00Z</vt:filetime>
  </property>
  <property fmtid="{D5CDD505-2E9C-101B-9397-08002B2CF9AE}" pid="3" name="LastSaved">
    <vt:filetime>2014-11-11T00:00:00Z</vt:filetime>
  </property>
</Properties>
</file>